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CDFA5" w14:textId="72BB633E" w:rsidR="0064777F" w:rsidRPr="00B650D9" w:rsidRDefault="0064777F" w:rsidP="00912BF3">
      <w:pPr>
        <w:pStyle w:val="Title"/>
        <w:spacing w:after="120" w:line="240" w:lineRule="auto"/>
        <w:rPr>
          <w:sz w:val="24"/>
          <w:szCs w:val="24"/>
        </w:rPr>
      </w:pPr>
      <w:r w:rsidRPr="00B650D9">
        <w:rPr>
          <w:sz w:val="24"/>
          <w:szCs w:val="24"/>
        </w:rPr>
        <w:t>NOTĂ DE FUNDAMENTARE</w:t>
      </w:r>
    </w:p>
    <w:p w14:paraId="1CA3C7C8" w14:textId="77777777" w:rsidR="00983417" w:rsidRPr="00B650D9" w:rsidRDefault="00983417" w:rsidP="00912BF3">
      <w:pPr>
        <w:pStyle w:val="Title"/>
        <w:spacing w:after="120" w:line="240" w:lineRule="auto"/>
        <w:rPr>
          <w:sz w:val="24"/>
          <w:szCs w:val="24"/>
        </w:rPr>
      </w:pPr>
    </w:p>
    <w:p w14:paraId="0448C4F0" w14:textId="42589059" w:rsidR="00223491" w:rsidRPr="00B650D9" w:rsidRDefault="00223491" w:rsidP="00912BF3">
      <w:pPr>
        <w:pStyle w:val="Title"/>
        <w:spacing w:after="120" w:line="240" w:lineRule="auto"/>
        <w:rPr>
          <w:sz w:val="24"/>
          <w:szCs w:val="24"/>
        </w:rPr>
      </w:pPr>
      <w:r w:rsidRPr="00B650D9">
        <w:rPr>
          <w:sz w:val="24"/>
          <w:szCs w:val="24"/>
        </w:rPr>
        <w:t>Secțiunea 1</w:t>
      </w:r>
    </w:p>
    <w:p w14:paraId="78C75447" w14:textId="7835BBDC" w:rsidR="00223491" w:rsidRPr="00B650D9" w:rsidRDefault="00223491" w:rsidP="00912BF3">
      <w:pPr>
        <w:pStyle w:val="Title"/>
        <w:spacing w:after="120" w:line="240" w:lineRule="auto"/>
        <w:rPr>
          <w:sz w:val="24"/>
          <w:szCs w:val="24"/>
        </w:rPr>
      </w:pPr>
      <w:r w:rsidRPr="00B650D9">
        <w:rPr>
          <w:sz w:val="24"/>
          <w:szCs w:val="24"/>
        </w:rPr>
        <w:t>Titlul proiectului de act normativ</w:t>
      </w:r>
    </w:p>
    <w:p w14:paraId="4074CD46" w14:textId="77777777" w:rsidR="00BF6BBB" w:rsidRPr="00B650D9" w:rsidRDefault="00BF6BBB" w:rsidP="004E2DB8">
      <w:pPr>
        <w:pStyle w:val="Title"/>
        <w:spacing w:after="120" w:line="240" w:lineRule="auto"/>
        <w:ind w:firstLine="720"/>
        <w:rPr>
          <w:sz w:val="24"/>
          <w:szCs w:val="24"/>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A60372" w:rsidRPr="00B650D9" w14:paraId="117C71DD" w14:textId="77777777" w:rsidTr="00223491">
        <w:tc>
          <w:tcPr>
            <w:tcW w:w="10490" w:type="dxa"/>
          </w:tcPr>
          <w:p w14:paraId="6723E825" w14:textId="77777777" w:rsidR="0015483E" w:rsidRPr="00B650D9" w:rsidRDefault="00DA3448" w:rsidP="0015483E">
            <w:pPr>
              <w:spacing w:line="276" w:lineRule="auto"/>
              <w:jc w:val="center"/>
              <w:rPr>
                <w:rFonts w:eastAsia="Verdana"/>
                <w:b/>
                <w:lang w:eastAsia="ro-RO"/>
              </w:rPr>
            </w:pPr>
            <w:r w:rsidRPr="00B650D9">
              <w:rPr>
                <w:rFonts w:eastAsia="Verdana"/>
                <w:b/>
                <w:lang w:eastAsia="ro-RO"/>
              </w:rPr>
              <w:t xml:space="preserve">ORDONANȚĂ </w:t>
            </w:r>
            <w:r w:rsidR="0015483E" w:rsidRPr="00B650D9">
              <w:rPr>
                <w:rFonts w:eastAsia="Verdana"/>
                <w:b/>
                <w:lang w:eastAsia="ro-RO"/>
              </w:rPr>
              <w:t xml:space="preserve">DE URGENȚĂ </w:t>
            </w:r>
          </w:p>
          <w:p w14:paraId="30F7D8A7" w14:textId="0CEC7A7E" w:rsidR="0015483E" w:rsidRPr="00B650D9" w:rsidRDefault="0015483E" w:rsidP="0015483E">
            <w:pPr>
              <w:spacing w:line="276" w:lineRule="auto"/>
              <w:jc w:val="center"/>
              <w:rPr>
                <w:b/>
              </w:rPr>
            </w:pPr>
            <w:r w:rsidRPr="00B650D9">
              <w:rPr>
                <w:b/>
              </w:rPr>
              <w:t>privind instituirea unor măsuri de simplificare și digitalizare pentru gestionarea fondurilor europene aferente Politicii de Coeziune 2021-2027</w:t>
            </w:r>
          </w:p>
          <w:p w14:paraId="338F09EC" w14:textId="0E22B8E5" w:rsidR="00084688" w:rsidRPr="00B650D9" w:rsidRDefault="00DA3448" w:rsidP="0015483E">
            <w:pPr>
              <w:spacing w:after="120"/>
              <w:jc w:val="both"/>
              <w:rPr>
                <w:rFonts w:eastAsia="Verdana"/>
                <w:b/>
                <w:lang w:eastAsia="ro-RO"/>
              </w:rPr>
            </w:pPr>
            <w:r w:rsidRPr="00B650D9">
              <w:rPr>
                <w:rFonts w:eastAsia="Verdana"/>
                <w:b/>
                <w:lang w:eastAsia="ro-RO"/>
              </w:rPr>
              <w:t xml:space="preserve"> </w:t>
            </w:r>
          </w:p>
        </w:tc>
      </w:tr>
    </w:tbl>
    <w:p w14:paraId="2CE089BE" w14:textId="7BDFBE6D" w:rsidR="00BC6BCA" w:rsidRPr="00B650D9" w:rsidRDefault="00BC6BCA" w:rsidP="004E2DB8">
      <w:pPr>
        <w:spacing w:after="120"/>
        <w:rPr>
          <w:b/>
          <w:highlight w:val="yellow"/>
          <w:lang w:eastAsia="ro-RO"/>
        </w:rPr>
      </w:pPr>
    </w:p>
    <w:p w14:paraId="33C1CD30" w14:textId="4FAF6130" w:rsidR="00223491" w:rsidRPr="00B650D9" w:rsidRDefault="00C5468F" w:rsidP="00DE5AF9">
      <w:pPr>
        <w:pStyle w:val="Title"/>
        <w:spacing w:after="120" w:line="240" w:lineRule="auto"/>
        <w:rPr>
          <w:sz w:val="24"/>
          <w:szCs w:val="24"/>
        </w:rPr>
      </w:pPr>
      <w:r w:rsidRPr="00B650D9">
        <w:rPr>
          <w:sz w:val="24"/>
          <w:szCs w:val="24"/>
        </w:rPr>
        <w:t>Secțiunea</w:t>
      </w:r>
      <w:r w:rsidR="00670C79" w:rsidRPr="00B650D9">
        <w:rPr>
          <w:sz w:val="24"/>
          <w:szCs w:val="24"/>
        </w:rPr>
        <w:t xml:space="preserve"> a 2-a</w:t>
      </w:r>
    </w:p>
    <w:p w14:paraId="2CFAD6CE" w14:textId="3F6C4CE2" w:rsidR="00BF6BBB" w:rsidRPr="00B650D9" w:rsidRDefault="00670C79" w:rsidP="00DE5AF9">
      <w:pPr>
        <w:pStyle w:val="Title"/>
        <w:spacing w:after="120" w:line="240" w:lineRule="auto"/>
        <w:rPr>
          <w:sz w:val="24"/>
          <w:szCs w:val="24"/>
        </w:rPr>
      </w:pPr>
      <w:r w:rsidRPr="00B650D9">
        <w:rPr>
          <w:sz w:val="24"/>
          <w:szCs w:val="24"/>
        </w:rPr>
        <w:t>Motivul emiterii actului normativ</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A60372" w:rsidRPr="00B650D9" w14:paraId="47D7FD1D" w14:textId="77777777" w:rsidTr="00E669C2">
        <w:trPr>
          <w:trHeight w:val="841"/>
        </w:trPr>
        <w:tc>
          <w:tcPr>
            <w:tcW w:w="10490" w:type="dxa"/>
          </w:tcPr>
          <w:p w14:paraId="334278EB" w14:textId="61DD5F1F" w:rsidR="00742E10" w:rsidRPr="00B650D9" w:rsidRDefault="00223491" w:rsidP="004E2DB8">
            <w:pPr>
              <w:autoSpaceDE w:val="0"/>
              <w:autoSpaceDN w:val="0"/>
              <w:adjustRightInd w:val="0"/>
              <w:spacing w:after="120"/>
              <w:jc w:val="both"/>
              <w:rPr>
                <w:rFonts w:eastAsiaTheme="minorHAnsi"/>
                <w:b/>
                <w:sz w:val="23"/>
                <w:szCs w:val="23"/>
                <w:lang w:eastAsia="ro-RO"/>
              </w:rPr>
            </w:pPr>
            <w:r w:rsidRPr="00B650D9">
              <w:rPr>
                <w:rFonts w:eastAsiaTheme="minorHAnsi"/>
                <w:b/>
                <w:sz w:val="23"/>
                <w:szCs w:val="23"/>
                <w:lang w:eastAsia="ro-RO"/>
              </w:rPr>
              <w:t xml:space="preserve">2.1 Sursa proiectului de act normativ </w:t>
            </w:r>
          </w:p>
          <w:p w14:paraId="2FBDD7AC" w14:textId="77777777" w:rsidR="00697277" w:rsidRPr="00B650D9" w:rsidRDefault="00270287" w:rsidP="004E2DB8">
            <w:pPr>
              <w:autoSpaceDE w:val="0"/>
              <w:autoSpaceDN w:val="0"/>
              <w:adjustRightInd w:val="0"/>
              <w:spacing w:after="120"/>
              <w:jc w:val="both"/>
              <w:rPr>
                <w:rFonts w:eastAsiaTheme="minorHAnsi"/>
                <w:bCs/>
                <w:sz w:val="23"/>
                <w:szCs w:val="23"/>
                <w:lang w:eastAsia="ro-RO"/>
              </w:rPr>
            </w:pPr>
            <w:r w:rsidRPr="00B650D9">
              <w:rPr>
                <w:rFonts w:eastAsiaTheme="minorHAnsi"/>
                <w:bCs/>
                <w:sz w:val="23"/>
                <w:szCs w:val="23"/>
                <w:lang w:eastAsia="ro-RO"/>
              </w:rPr>
              <w:t>La nivelul Uniunii Europene, politica de coeziune este una dintre cele mai importante și mai complexe politici ale Uniunii Europene, având ca principal obiectiv reducerea decalajelor economice, sociale şi teritoriale între diversele regiuni și statele membre. În cadrul acestei politici, obiectivele specifice privind creșterea economică și ocuparea forței de muncă sunt susținute prin contribuția fondurilor  externe nerambursabile</w:t>
            </w:r>
            <w:r w:rsidRPr="00B650D9" w:rsidDel="001275A6">
              <w:rPr>
                <w:rFonts w:eastAsiaTheme="minorHAnsi"/>
                <w:bCs/>
                <w:sz w:val="23"/>
                <w:szCs w:val="23"/>
                <w:lang w:eastAsia="ro-RO"/>
              </w:rPr>
              <w:t xml:space="preserve"> </w:t>
            </w:r>
            <w:r w:rsidRPr="00B650D9">
              <w:rPr>
                <w:rFonts w:eastAsiaTheme="minorHAnsi"/>
                <w:bCs/>
                <w:sz w:val="23"/>
                <w:szCs w:val="23"/>
                <w:lang w:eastAsia="ro-RO"/>
              </w:rPr>
              <w:t xml:space="preserve"> implementate prin bugete multianuale de 7 ani (perioade de programare).</w:t>
            </w:r>
          </w:p>
          <w:p w14:paraId="5F310416" w14:textId="5E23B039" w:rsidR="00697277" w:rsidRPr="00B650D9" w:rsidRDefault="00697277" w:rsidP="004E2DB8">
            <w:pPr>
              <w:autoSpaceDE w:val="0"/>
              <w:autoSpaceDN w:val="0"/>
              <w:adjustRightInd w:val="0"/>
              <w:spacing w:after="120"/>
              <w:jc w:val="both"/>
              <w:rPr>
                <w:rFonts w:eastAsiaTheme="minorHAnsi"/>
                <w:bCs/>
                <w:sz w:val="23"/>
                <w:szCs w:val="23"/>
                <w:lang w:eastAsia="ro-RO"/>
              </w:rPr>
            </w:pPr>
            <w:r w:rsidRPr="00B650D9">
              <w:rPr>
                <w:rFonts w:eastAsiaTheme="minorHAnsi"/>
                <w:bCs/>
                <w:sz w:val="23"/>
                <w:szCs w:val="23"/>
                <w:lang w:eastAsia="ro-RO"/>
              </w:rPr>
              <w:t>Toate cele 16 programe subsecvente Acordului de parteneriat au fost aprobate prin decizie a Comisiei Europene, iar autoritățile de management urmează să definitiveze sistemele de management și control ale programelor și să lanseze apelurile de proiecte.</w:t>
            </w:r>
          </w:p>
          <w:p w14:paraId="2969AC21" w14:textId="4F345D4C" w:rsidR="00697277" w:rsidRPr="00B650D9" w:rsidRDefault="00697277" w:rsidP="004E2DB8">
            <w:pPr>
              <w:autoSpaceDE w:val="0"/>
              <w:autoSpaceDN w:val="0"/>
              <w:adjustRightInd w:val="0"/>
              <w:spacing w:after="120"/>
              <w:jc w:val="both"/>
              <w:rPr>
                <w:rFonts w:eastAsiaTheme="minorHAnsi"/>
                <w:bCs/>
                <w:sz w:val="23"/>
                <w:szCs w:val="23"/>
                <w:lang w:eastAsia="ro-RO"/>
              </w:rPr>
            </w:pPr>
            <w:r w:rsidRPr="00B650D9">
              <w:rPr>
                <w:rFonts w:eastAsiaTheme="minorHAnsi"/>
                <w:bCs/>
                <w:sz w:val="23"/>
                <w:szCs w:val="23"/>
                <w:lang w:eastAsia="ro-RO"/>
              </w:rPr>
              <w:t>Programele prevăd alocări financiare aferente unor investiții de importanță strategică pentru România și, în acest context, procedurile de accesare a fondurilor trebuie să fie adaptate la nevoile reale ale beneficiarilor astfel încât să fie asigurat accesul facil și flexibil al acestora la fondurile externe nerambursabile.</w:t>
            </w:r>
          </w:p>
          <w:p w14:paraId="202CF3D5" w14:textId="18259189" w:rsidR="009E3F6A" w:rsidRPr="00B650D9" w:rsidRDefault="00223491" w:rsidP="004E2DB8">
            <w:pPr>
              <w:autoSpaceDE w:val="0"/>
              <w:autoSpaceDN w:val="0"/>
              <w:adjustRightInd w:val="0"/>
              <w:spacing w:after="120"/>
              <w:jc w:val="both"/>
              <w:rPr>
                <w:rFonts w:eastAsiaTheme="minorHAnsi"/>
                <w:b/>
                <w:sz w:val="23"/>
                <w:szCs w:val="23"/>
                <w:lang w:eastAsia="ro-RO"/>
              </w:rPr>
            </w:pPr>
            <w:r w:rsidRPr="00B650D9">
              <w:rPr>
                <w:rFonts w:eastAsiaTheme="minorHAnsi"/>
                <w:b/>
                <w:sz w:val="23"/>
                <w:szCs w:val="23"/>
                <w:lang w:eastAsia="ro-RO"/>
              </w:rPr>
              <w:t>2.2 Descrierea situației actuale</w:t>
            </w:r>
          </w:p>
          <w:p w14:paraId="0CFC5628" w14:textId="5E235A9C" w:rsidR="006D4A0A" w:rsidRPr="00B650D9" w:rsidRDefault="006D4A0A" w:rsidP="004E2DB8">
            <w:pPr>
              <w:autoSpaceDE w:val="0"/>
              <w:autoSpaceDN w:val="0"/>
              <w:adjustRightInd w:val="0"/>
              <w:spacing w:after="120"/>
              <w:jc w:val="both"/>
              <w:rPr>
                <w:rFonts w:eastAsiaTheme="minorHAnsi"/>
                <w:bCs/>
                <w:sz w:val="23"/>
                <w:szCs w:val="23"/>
                <w:lang w:eastAsia="ro-RO"/>
              </w:rPr>
            </w:pPr>
            <w:r w:rsidRPr="00B650D9">
              <w:rPr>
                <w:rFonts w:eastAsiaTheme="minorHAnsi"/>
                <w:bCs/>
                <w:sz w:val="23"/>
                <w:szCs w:val="23"/>
                <w:lang w:eastAsia="ro-RO"/>
              </w:rPr>
              <w:t>Perioada de programare 2014 -2020 se aproprie de etapa de închidere, anul 2023 fiind un an în care începe bilanțul. Conform calendarului</w:t>
            </w:r>
            <w:r w:rsidR="00EE30E7" w:rsidRPr="00B650D9">
              <w:rPr>
                <w:rFonts w:eastAsiaTheme="minorHAnsi"/>
                <w:bCs/>
                <w:sz w:val="23"/>
                <w:szCs w:val="23"/>
                <w:lang w:eastAsia="ro-RO"/>
              </w:rPr>
              <w:t>,</w:t>
            </w:r>
            <w:r w:rsidRPr="00B650D9">
              <w:rPr>
                <w:rFonts w:eastAsiaTheme="minorHAnsi"/>
                <w:bCs/>
                <w:sz w:val="23"/>
                <w:szCs w:val="23"/>
                <w:lang w:eastAsia="ro-RO"/>
              </w:rPr>
              <w:t xml:space="preserve"> în septembrie 2023 este ultima lună când se pot modifica programele acestei perioade de programare</w:t>
            </w:r>
            <w:r w:rsidR="00EE30E7" w:rsidRPr="00B650D9">
              <w:rPr>
                <w:rFonts w:eastAsiaTheme="minorHAnsi"/>
                <w:bCs/>
                <w:sz w:val="23"/>
                <w:szCs w:val="23"/>
                <w:lang w:eastAsia="ro-RO"/>
              </w:rPr>
              <w:t>,</w:t>
            </w:r>
            <w:r w:rsidRPr="00B650D9">
              <w:rPr>
                <w:rFonts w:eastAsiaTheme="minorHAnsi"/>
                <w:bCs/>
                <w:sz w:val="23"/>
                <w:szCs w:val="23"/>
                <w:lang w:eastAsia="ro-RO"/>
              </w:rPr>
              <w:t xml:space="preserve"> iar luna decembrie </w:t>
            </w:r>
            <w:r w:rsidR="00EE30E7" w:rsidRPr="00B650D9">
              <w:rPr>
                <w:rFonts w:eastAsiaTheme="minorHAnsi"/>
                <w:bCs/>
                <w:sz w:val="23"/>
                <w:szCs w:val="23"/>
                <w:lang w:eastAsia="ro-RO"/>
              </w:rPr>
              <w:t>2023 este</w:t>
            </w:r>
            <w:r w:rsidRPr="00B650D9">
              <w:rPr>
                <w:rFonts w:eastAsiaTheme="minorHAnsi"/>
                <w:bCs/>
                <w:sz w:val="23"/>
                <w:szCs w:val="23"/>
                <w:lang w:eastAsia="ro-RO"/>
              </w:rPr>
              <w:t xml:space="preserve"> luna ultimelor cheltuieli eligibile. </w:t>
            </w:r>
            <w:r w:rsidR="00EE30E7" w:rsidRPr="00B650D9">
              <w:rPr>
                <w:rFonts w:eastAsiaTheme="minorHAnsi"/>
                <w:bCs/>
                <w:sz w:val="23"/>
                <w:szCs w:val="23"/>
                <w:lang w:eastAsia="ro-RO"/>
              </w:rPr>
              <w:t xml:space="preserve">În perioada de programare </w:t>
            </w:r>
            <w:r w:rsidRPr="00B650D9">
              <w:rPr>
                <w:rFonts w:eastAsiaTheme="minorHAnsi"/>
                <w:bCs/>
                <w:sz w:val="23"/>
                <w:szCs w:val="23"/>
                <w:lang w:eastAsia="ro-RO"/>
              </w:rPr>
              <w:t>2014 -2020</w:t>
            </w:r>
            <w:r w:rsidR="00EE30E7" w:rsidRPr="00B650D9">
              <w:rPr>
                <w:rFonts w:eastAsiaTheme="minorHAnsi"/>
                <w:bCs/>
                <w:sz w:val="23"/>
                <w:szCs w:val="23"/>
                <w:lang w:eastAsia="ro-RO"/>
              </w:rPr>
              <w:t xml:space="preserve">, alocarea </w:t>
            </w:r>
            <w:r w:rsidR="00104A0A" w:rsidRPr="00B650D9">
              <w:rPr>
                <w:rFonts w:eastAsiaTheme="minorHAnsi"/>
                <w:bCs/>
                <w:sz w:val="23"/>
                <w:szCs w:val="23"/>
                <w:lang w:eastAsia="ro-RO"/>
              </w:rPr>
              <w:t xml:space="preserve">UE </w:t>
            </w:r>
            <w:r w:rsidR="00EE30E7" w:rsidRPr="00B650D9">
              <w:rPr>
                <w:rFonts w:eastAsiaTheme="minorHAnsi"/>
                <w:bCs/>
                <w:sz w:val="23"/>
                <w:szCs w:val="23"/>
                <w:lang w:eastAsia="ro-RO"/>
              </w:rPr>
              <w:t>pentru Politica de Coeziune a fost de</w:t>
            </w:r>
            <w:r w:rsidRPr="00B650D9">
              <w:rPr>
                <w:rFonts w:eastAsiaTheme="minorHAnsi"/>
                <w:bCs/>
                <w:sz w:val="23"/>
                <w:szCs w:val="23"/>
                <w:lang w:eastAsia="ro-RO"/>
              </w:rPr>
              <w:t xml:space="preserve"> 24</w:t>
            </w:r>
            <w:r w:rsidR="00EE30E7" w:rsidRPr="00B650D9">
              <w:rPr>
                <w:rFonts w:eastAsiaTheme="minorHAnsi"/>
                <w:bCs/>
                <w:sz w:val="23"/>
                <w:szCs w:val="23"/>
                <w:lang w:eastAsia="ro-RO"/>
              </w:rPr>
              <w:t>,07 miliarde</w:t>
            </w:r>
            <w:r w:rsidRPr="00B650D9">
              <w:rPr>
                <w:rFonts w:eastAsiaTheme="minorHAnsi"/>
                <w:bCs/>
                <w:sz w:val="23"/>
                <w:szCs w:val="23"/>
                <w:lang w:eastAsia="ro-RO"/>
              </w:rPr>
              <w:t xml:space="preserve"> euro</w:t>
            </w:r>
            <w:r w:rsidR="000F0CFD" w:rsidRPr="00B650D9">
              <w:rPr>
                <w:rFonts w:eastAsiaTheme="minorHAnsi"/>
                <w:bCs/>
                <w:sz w:val="23"/>
                <w:szCs w:val="23"/>
                <w:lang w:eastAsia="ro-RO"/>
              </w:rPr>
              <w:t>,</w:t>
            </w:r>
            <w:r w:rsidRPr="00B650D9">
              <w:rPr>
                <w:rFonts w:eastAsiaTheme="minorHAnsi"/>
                <w:bCs/>
                <w:sz w:val="23"/>
                <w:szCs w:val="23"/>
                <w:lang w:eastAsia="ro-RO"/>
              </w:rPr>
              <w:t xml:space="preserve"> ace</w:t>
            </w:r>
            <w:r w:rsidR="000F0CFD" w:rsidRPr="00B650D9">
              <w:rPr>
                <w:rFonts w:eastAsiaTheme="minorHAnsi"/>
                <w:bCs/>
                <w:sz w:val="23"/>
                <w:szCs w:val="23"/>
                <w:lang w:eastAsia="ro-RO"/>
              </w:rPr>
              <w:t>a</w:t>
            </w:r>
            <w:r w:rsidRPr="00B650D9">
              <w:rPr>
                <w:rFonts w:eastAsiaTheme="minorHAnsi"/>
                <w:bCs/>
                <w:sz w:val="23"/>
                <w:szCs w:val="23"/>
                <w:lang w:eastAsia="ro-RO"/>
              </w:rPr>
              <w:t>st</w:t>
            </w:r>
            <w:r w:rsidR="000F0CFD" w:rsidRPr="00B650D9">
              <w:rPr>
                <w:rFonts w:eastAsiaTheme="minorHAnsi"/>
                <w:bCs/>
                <w:sz w:val="23"/>
                <w:szCs w:val="23"/>
                <w:lang w:eastAsia="ro-RO"/>
              </w:rPr>
              <w:t>ă</w:t>
            </w:r>
            <w:r w:rsidRPr="00B650D9">
              <w:rPr>
                <w:rFonts w:eastAsiaTheme="minorHAnsi"/>
                <w:bCs/>
                <w:sz w:val="23"/>
                <w:szCs w:val="23"/>
                <w:lang w:eastAsia="ro-RO"/>
              </w:rPr>
              <w:t xml:space="preserve"> </w:t>
            </w:r>
            <w:r w:rsidR="000F0CFD" w:rsidRPr="00B650D9">
              <w:rPr>
                <w:rFonts w:eastAsiaTheme="minorHAnsi"/>
                <w:bCs/>
                <w:sz w:val="23"/>
                <w:szCs w:val="23"/>
                <w:lang w:eastAsia="ro-RO"/>
              </w:rPr>
              <w:t xml:space="preserve">alocare </w:t>
            </w:r>
            <w:r w:rsidRPr="00B650D9">
              <w:rPr>
                <w:rFonts w:eastAsiaTheme="minorHAnsi"/>
                <w:bCs/>
                <w:sz w:val="23"/>
                <w:szCs w:val="23"/>
                <w:lang w:eastAsia="ro-RO"/>
              </w:rPr>
              <w:t xml:space="preserve">a fost </w:t>
            </w:r>
            <w:r w:rsidR="000F0CFD" w:rsidRPr="00B650D9">
              <w:rPr>
                <w:rFonts w:eastAsiaTheme="minorHAnsi"/>
                <w:bCs/>
                <w:sz w:val="23"/>
                <w:szCs w:val="23"/>
                <w:lang w:eastAsia="ro-RO"/>
              </w:rPr>
              <w:t>distribuită la nivelul celor</w:t>
            </w:r>
            <w:r w:rsidRPr="00B650D9">
              <w:rPr>
                <w:rFonts w:eastAsiaTheme="minorHAnsi"/>
                <w:bCs/>
                <w:sz w:val="23"/>
                <w:szCs w:val="23"/>
                <w:lang w:eastAsia="ro-RO"/>
              </w:rPr>
              <w:t xml:space="preserve"> 6 programe operaționale</w:t>
            </w:r>
            <w:r w:rsidR="000F0CFD" w:rsidRPr="00B650D9">
              <w:rPr>
                <w:rFonts w:eastAsiaTheme="minorHAnsi"/>
                <w:bCs/>
                <w:sz w:val="23"/>
                <w:szCs w:val="23"/>
                <w:lang w:eastAsia="ro-RO"/>
              </w:rPr>
              <w:t>, după cum urmează</w:t>
            </w:r>
            <w:r w:rsidRPr="00B650D9">
              <w:rPr>
                <w:rFonts w:eastAsiaTheme="minorHAnsi"/>
                <w:bCs/>
                <w:sz w:val="23"/>
                <w:szCs w:val="23"/>
                <w:lang w:eastAsia="ro-RO"/>
              </w:rPr>
              <w:t>:</w:t>
            </w:r>
            <w:r w:rsidR="00912BF3" w:rsidRPr="00B650D9">
              <w:rPr>
                <w:rFonts w:eastAsiaTheme="minorHAnsi"/>
                <w:bCs/>
                <w:sz w:val="23"/>
                <w:szCs w:val="23"/>
                <w:lang w:eastAsia="ro-RO"/>
              </w:rPr>
              <w:t xml:space="preserve"> </w:t>
            </w:r>
            <w:r w:rsidRPr="00B650D9">
              <w:rPr>
                <w:rFonts w:eastAsiaTheme="minorHAnsi"/>
                <w:bCs/>
                <w:sz w:val="23"/>
                <w:szCs w:val="23"/>
                <w:lang w:eastAsia="ro-RO"/>
              </w:rPr>
              <w:t>Programul Operațional Asistență Tehnică</w:t>
            </w:r>
            <w:r w:rsidR="000F0CFD" w:rsidRPr="00B650D9">
              <w:rPr>
                <w:rFonts w:eastAsiaTheme="minorHAnsi"/>
                <w:bCs/>
                <w:sz w:val="23"/>
                <w:szCs w:val="23"/>
                <w:lang w:eastAsia="ro-RO"/>
              </w:rPr>
              <w:t xml:space="preserve"> – 332,7 milioane euro;</w:t>
            </w:r>
            <w:r w:rsidR="001110D7" w:rsidRPr="00B650D9">
              <w:rPr>
                <w:rFonts w:eastAsiaTheme="minorHAnsi"/>
                <w:bCs/>
                <w:sz w:val="23"/>
                <w:szCs w:val="23"/>
                <w:lang w:eastAsia="ro-RO"/>
              </w:rPr>
              <w:t xml:space="preserve"> </w:t>
            </w:r>
            <w:r w:rsidRPr="00B650D9">
              <w:rPr>
                <w:rFonts w:eastAsiaTheme="minorHAnsi"/>
                <w:bCs/>
                <w:sz w:val="23"/>
                <w:szCs w:val="23"/>
                <w:lang w:eastAsia="ro-RO"/>
              </w:rPr>
              <w:t>Programul Operațional Capacitate Administrativă</w:t>
            </w:r>
            <w:r w:rsidR="000F0CFD" w:rsidRPr="00B650D9">
              <w:rPr>
                <w:rFonts w:eastAsiaTheme="minorHAnsi"/>
                <w:bCs/>
                <w:sz w:val="23"/>
                <w:szCs w:val="23"/>
                <w:lang w:eastAsia="ro-RO"/>
              </w:rPr>
              <w:t xml:space="preserve"> – 563,6 milioane euro;</w:t>
            </w:r>
            <w:r w:rsidR="001110D7" w:rsidRPr="00B650D9">
              <w:rPr>
                <w:rFonts w:eastAsiaTheme="minorHAnsi"/>
                <w:bCs/>
                <w:sz w:val="23"/>
                <w:szCs w:val="23"/>
                <w:lang w:eastAsia="ro-RO"/>
              </w:rPr>
              <w:t xml:space="preserve"> </w:t>
            </w:r>
            <w:r w:rsidRPr="00B650D9">
              <w:rPr>
                <w:rFonts w:eastAsiaTheme="minorHAnsi"/>
                <w:bCs/>
                <w:sz w:val="23"/>
                <w:szCs w:val="23"/>
                <w:lang w:eastAsia="ro-RO"/>
              </w:rPr>
              <w:t>Programul Operațional Regional</w:t>
            </w:r>
            <w:r w:rsidR="000F0CFD" w:rsidRPr="00B650D9">
              <w:rPr>
                <w:rFonts w:eastAsiaTheme="minorHAnsi"/>
                <w:bCs/>
                <w:sz w:val="23"/>
                <w:szCs w:val="23"/>
                <w:lang w:eastAsia="ro-RO"/>
              </w:rPr>
              <w:t xml:space="preserve"> – 6,86 miliarde euro;</w:t>
            </w:r>
            <w:r w:rsidR="001110D7" w:rsidRPr="00B650D9">
              <w:rPr>
                <w:rFonts w:eastAsiaTheme="minorHAnsi"/>
                <w:bCs/>
                <w:sz w:val="23"/>
                <w:szCs w:val="23"/>
                <w:lang w:eastAsia="ro-RO"/>
              </w:rPr>
              <w:t xml:space="preserve"> </w:t>
            </w:r>
            <w:r w:rsidRPr="00B650D9">
              <w:rPr>
                <w:rFonts w:eastAsiaTheme="minorHAnsi"/>
                <w:bCs/>
                <w:sz w:val="23"/>
                <w:szCs w:val="23"/>
                <w:lang w:eastAsia="ro-RO"/>
              </w:rPr>
              <w:t>Programul Operațional Infrastructură Mare</w:t>
            </w:r>
            <w:r w:rsidR="000F0CFD" w:rsidRPr="00B650D9">
              <w:rPr>
                <w:rFonts w:eastAsiaTheme="minorHAnsi"/>
                <w:bCs/>
                <w:sz w:val="23"/>
                <w:szCs w:val="23"/>
                <w:lang w:eastAsia="ro-RO"/>
              </w:rPr>
              <w:t xml:space="preserve"> – 9,34 miliarde euro;</w:t>
            </w:r>
            <w:r w:rsidR="001110D7" w:rsidRPr="00B650D9">
              <w:rPr>
                <w:rFonts w:eastAsiaTheme="minorHAnsi"/>
                <w:bCs/>
                <w:sz w:val="23"/>
                <w:szCs w:val="23"/>
                <w:lang w:eastAsia="ro-RO"/>
              </w:rPr>
              <w:t xml:space="preserve"> </w:t>
            </w:r>
            <w:r w:rsidRPr="00B650D9">
              <w:rPr>
                <w:rFonts w:eastAsiaTheme="minorHAnsi"/>
                <w:bCs/>
                <w:sz w:val="23"/>
                <w:szCs w:val="23"/>
                <w:lang w:eastAsia="ro-RO"/>
              </w:rPr>
              <w:t>Programul Operațional Competitivitate</w:t>
            </w:r>
            <w:r w:rsidR="000F0CFD" w:rsidRPr="00B650D9">
              <w:rPr>
                <w:rFonts w:eastAsiaTheme="minorHAnsi"/>
                <w:bCs/>
                <w:sz w:val="23"/>
                <w:szCs w:val="23"/>
                <w:lang w:eastAsia="ro-RO"/>
              </w:rPr>
              <w:t xml:space="preserve"> – 2,38 miliarde euro;</w:t>
            </w:r>
            <w:r w:rsidR="001110D7" w:rsidRPr="00B650D9">
              <w:rPr>
                <w:rFonts w:eastAsiaTheme="minorHAnsi"/>
                <w:bCs/>
                <w:sz w:val="23"/>
                <w:szCs w:val="23"/>
                <w:lang w:eastAsia="ro-RO"/>
              </w:rPr>
              <w:t xml:space="preserve"> </w:t>
            </w:r>
            <w:r w:rsidRPr="00B650D9">
              <w:rPr>
                <w:rFonts w:eastAsiaTheme="minorHAnsi"/>
                <w:bCs/>
                <w:sz w:val="23"/>
                <w:szCs w:val="23"/>
                <w:lang w:eastAsia="ro-RO"/>
              </w:rPr>
              <w:t>Programul Operațional Capital Uman</w:t>
            </w:r>
            <w:r w:rsidR="000F0CFD" w:rsidRPr="00B650D9">
              <w:rPr>
                <w:rFonts w:eastAsiaTheme="minorHAnsi"/>
                <w:bCs/>
                <w:sz w:val="23"/>
                <w:szCs w:val="23"/>
                <w:lang w:eastAsia="ro-RO"/>
              </w:rPr>
              <w:t xml:space="preserve"> – 4,59 miliarde euro.</w:t>
            </w:r>
          </w:p>
          <w:p w14:paraId="74039C7C" w14:textId="3F938939" w:rsidR="004806FC" w:rsidRPr="00B650D9" w:rsidRDefault="006D4A0A" w:rsidP="004E2DB8">
            <w:pPr>
              <w:autoSpaceDE w:val="0"/>
              <w:autoSpaceDN w:val="0"/>
              <w:adjustRightInd w:val="0"/>
              <w:spacing w:after="120"/>
              <w:jc w:val="both"/>
              <w:rPr>
                <w:rFonts w:eastAsiaTheme="minorHAnsi"/>
                <w:bCs/>
                <w:sz w:val="23"/>
                <w:szCs w:val="23"/>
                <w:lang w:eastAsia="ro-RO"/>
              </w:rPr>
            </w:pPr>
            <w:r w:rsidRPr="00B650D9">
              <w:rPr>
                <w:rFonts w:eastAsiaTheme="minorHAnsi"/>
                <w:bCs/>
                <w:sz w:val="23"/>
                <w:szCs w:val="23"/>
                <w:lang w:eastAsia="ro-RO"/>
              </w:rPr>
              <w:t>Totodată</w:t>
            </w:r>
            <w:r w:rsidR="000F0CFD" w:rsidRPr="00B650D9">
              <w:rPr>
                <w:rFonts w:eastAsiaTheme="minorHAnsi"/>
                <w:bCs/>
                <w:sz w:val="23"/>
                <w:szCs w:val="23"/>
                <w:lang w:eastAsia="ro-RO"/>
              </w:rPr>
              <w:t>,</w:t>
            </w:r>
            <w:r w:rsidRPr="00B650D9">
              <w:rPr>
                <w:rFonts w:eastAsiaTheme="minorHAnsi"/>
                <w:bCs/>
                <w:sz w:val="23"/>
                <w:szCs w:val="23"/>
                <w:lang w:eastAsia="ro-RO"/>
              </w:rPr>
              <w:t xml:space="preserve"> anul 2023 este momentul când începe implementarea perioadei de programare 2021-202</w:t>
            </w:r>
            <w:r w:rsidR="001110D7" w:rsidRPr="00B650D9">
              <w:rPr>
                <w:rFonts w:eastAsiaTheme="minorHAnsi"/>
                <w:bCs/>
                <w:sz w:val="23"/>
                <w:szCs w:val="23"/>
                <w:lang w:eastAsia="ro-RO"/>
              </w:rPr>
              <w:t>7</w:t>
            </w:r>
            <w:r w:rsidRPr="00B650D9">
              <w:rPr>
                <w:rFonts w:eastAsiaTheme="minorHAnsi"/>
                <w:bCs/>
                <w:sz w:val="23"/>
                <w:szCs w:val="23"/>
                <w:lang w:eastAsia="ro-RO"/>
              </w:rPr>
              <w:t xml:space="preserve">, cu o alocare </w:t>
            </w:r>
            <w:r w:rsidR="00104A0A" w:rsidRPr="00B650D9">
              <w:rPr>
                <w:rFonts w:eastAsiaTheme="minorHAnsi"/>
                <w:bCs/>
                <w:sz w:val="23"/>
                <w:szCs w:val="23"/>
                <w:lang w:eastAsia="ro-RO"/>
              </w:rPr>
              <w:t>UE</w:t>
            </w:r>
            <w:r w:rsidRPr="00B650D9">
              <w:rPr>
                <w:rFonts w:eastAsiaTheme="minorHAnsi"/>
                <w:bCs/>
                <w:sz w:val="23"/>
                <w:szCs w:val="23"/>
                <w:lang w:eastAsia="ro-RO"/>
              </w:rPr>
              <w:t xml:space="preserve"> de aprox</w:t>
            </w:r>
            <w:r w:rsidR="00104A0A" w:rsidRPr="00B650D9">
              <w:rPr>
                <w:rFonts w:eastAsiaTheme="minorHAnsi"/>
                <w:bCs/>
                <w:sz w:val="23"/>
                <w:szCs w:val="23"/>
                <w:lang w:eastAsia="ro-RO"/>
              </w:rPr>
              <w:t>imativ</w:t>
            </w:r>
            <w:r w:rsidRPr="00B650D9">
              <w:rPr>
                <w:rFonts w:eastAsiaTheme="minorHAnsi"/>
                <w:bCs/>
                <w:sz w:val="23"/>
                <w:szCs w:val="23"/>
                <w:lang w:eastAsia="ro-RO"/>
              </w:rPr>
              <w:t xml:space="preserve"> 30,98 </w:t>
            </w:r>
            <w:r w:rsidR="00104A0A" w:rsidRPr="00B650D9">
              <w:rPr>
                <w:rFonts w:eastAsiaTheme="minorHAnsi"/>
                <w:bCs/>
                <w:sz w:val="23"/>
                <w:szCs w:val="23"/>
                <w:lang w:eastAsia="ro-RO"/>
              </w:rPr>
              <w:t>miliarde</w:t>
            </w:r>
            <w:r w:rsidRPr="00B650D9">
              <w:rPr>
                <w:rFonts w:eastAsiaTheme="minorHAnsi"/>
                <w:bCs/>
                <w:sz w:val="23"/>
                <w:szCs w:val="23"/>
                <w:lang w:eastAsia="ro-RO"/>
              </w:rPr>
              <w:t xml:space="preserve"> euro și </w:t>
            </w:r>
            <w:r w:rsidR="00104A0A" w:rsidRPr="00B650D9">
              <w:rPr>
                <w:rFonts w:eastAsiaTheme="minorHAnsi"/>
                <w:bCs/>
                <w:sz w:val="23"/>
                <w:szCs w:val="23"/>
                <w:lang w:eastAsia="ro-RO"/>
              </w:rPr>
              <w:t>cu o alocare de aproximativ</w:t>
            </w:r>
            <w:r w:rsidRPr="00B650D9">
              <w:rPr>
                <w:rFonts w:eastAsiaTheme="minorHAnsi"/>
                <w:bCs/>
                <w:sz w:val="23"/>
                <w:szCs w:val="23"/>
                <w:lang w:eastAsia="ro-RO"/>
              </w:rPr>
              <w:t xml:space="preserve"> 15,46 </w:t>
            </w:r>
            <w:r w:rsidR="00104A0A" w:rsidRPr="00B650D9">
              <w:rPr>
                <w:rFonts w:eastAsiaTheme="minorHAnsi"/>
                <w:bCs/>
                <w:sz w:val="23"/>
                <w:szCs w:val="23"/>
                <w:lang w:eastAsia="ro-RO"/>
              </w:rPr>
              <w:t>miliarde</w:t>
            </w:r>
            <w:r w:rsidRPr="00B650D9">
              <w:rPr>
                <w:rFonts w:eastAsiaTheme="minorHAnsi"/>
                <w:bCs/>
                <w:sz w:val="23"/>
                <w:szCs w:val="23"/>
                <w:lang w:eastAsia="ro-RO"/>
              </w:rPr>
              <w:t xml:space="preserve"> euro sub formă de cofinanțare</w:t>
            </w:r>
            <w:r w:rsidR="00104A0A" w:rsidRPr="00B650D9">
              <w:rPr>
                <w:rFonts w:eastAsiaTheme="minorHAnsi"/>
                <w:bCs/>
                <w:sz w:val="23"/>
                <w:szCs w:val="23"/>
                <w:lang w:eastAsia="ro-RO"/>
              </w:rPr>
              <w:t>.</w:t>
            </w:r>
            <w:r w:rsidR="001110D7" w:rsidRPr="00B650D9">
              <w:rPr>
                <w:rFonts w:eastAsiaTheme="minorHAnsi"/>
                <w:bCs/>
                <w:sz w:val="23"/>
                <w:szCs w:val="23"/>
                <w:lang w:eastAsia="ro-RO"/>
              </w:rPr>
              <w:t xml:space="preserve"> Toate cele </w:t>
            </w:r>
            <w:r w:rsidR="00104A0A" w:rsidRPr="00B650D9">
              <w:rPr>
                <w:rFonts w:eastAsiaTheme="minorHAnsi"/>
                <w:bCs/>
                <w:sz w:val="23"/>
                <w:szCs w:val="23"/>
                <w:lang w:eastAsia="ro-RO"/>
              </w:rPr>
              <w:t xml:space="preserve">16 programe subsecvente Acordului de parteneriat, </w:t>
            </w:r>
            <w:r w:rsidR="001110D7" w:rsidRPr="00B650D9">
              <w:rPr>
                <w:rFonts w:eastAsiaTheme="minorHAnsi"/>
                <w:bCs/>
                <w:sz w:val="23"/>
                <w:szCs w:val="23"/>
                <w:lang w:eastAsia="ro-RO"/>
              </w:rPr>
              <w:t>din care</w:t>
            </w:r>
            <w:r w:rsidR="00104A0A" w:rsidRPr="00B650D9">
              <w:rPr>
                <w:rFonts w:eastAsiaTheme="minorHAnsi"/>
                <w:bCs/>
                <w:sz w:val="23"/>
                <w:szCs w:val="23"/>
                <w:lang w:eastAsia="ro-RO"/>
              </w:rPr>
              <w:t xml:space="preserve"> 8 programe regionale, descentralizate și 8 programe naționale, </w:t>
            </w:r>
            <w:r w:rsidR="001110D7" w:rsidRPr="00B650D9">
              <w:rPr>
                <w:rFonts w:eastAsiaTheme="minorHAnsi"/>
                <w:bCs/>
                <w:sz w:val="23"/>
                <w:szCs w:val="23"/>
                <w:lang w:eastAsia="ro-RO"/>
              </w:rPr>
              <w:t xml:space="preserve"> care </w:t>
            </w:r>
            <w:r w:rsidR="00104A0A" w:rsidRPr="00B650D9">
              <w:rPr>
                <w:rFonts w:eastAsiaTheme="minorHAnsi"/>
                <w:bCs/>
                <w:sz w:val="23"/>
                <w:szCs w:val="23"/>
                <w:lang w:eastAsia="ro-RO"/>
              </w:rPr>
              <w:t xml:space="preserve">au fost aprobate prin </w:t>
            </w:r>
            <w:r w:rsidR="001110D7" w:rsidRPr="00B650D9">
              <w:rPr>
                <w:rFonts w:eastAsiaTheme="minorHAnsi"/>
                <w:bCs/>
                <w:sz w:val="23"/>
                <w:szCs w:val="23"/>
                <w:lang w:eastAsia="ro-RO"/>
              </w:rPr>
              <w:t>D</w:t>
            </w:r>
            <w:r w:rsidR="00104A0A" w:rsidRPr="00B650D9">
              <w:rPr>
                <w:rFonts w:eastAsiaTheme="minorHAnsi"/>
                <w:bCs/>
                <w:sz w:val="23"/>
                <w:szCs w:val="23"/>
                <w:lang w:eastAsia="ro-RO"/>
              </w:rPr>
              <w:t>eciz</w:t>
            </w:r>
            <w:r w:rsidR="001110D7" w:rsidRPr="00B650D9">
              <w:rPr>
                <w:rFonts w:eastAsiaTheme="minorHAnsi"/>
                <w:bCs/>
                <w:sz w:val="23"/>
                <w:szCs w:val="23"/>
                <w:lang w:eastAsia="ro-RO"/>
              </w:rPr>
              <w:t>ii</w:t>
            </w:r>
            <w:r w:rsidR="00104A0A" w:rsidRPr="00B650D9">
              <w:rPr>
                <w:rFonts w:eastAsiaTheme="minorHAnsi"/>
                <w:bCs/>
                <w:sz w:val="23"/>
                <w:szCs w:val="23"/>
                <w:lang w:eastAsia="ro-RO"/>
              </w:rPr>
              <w:t xml:space="preserve"> a</w:t>
            </w:r>
            <w:r w:rsidR="001110D7" w:rsidRPr="00B650D9">
              <w:rPr>
                <w:rFonts w:eastAsiaTheme="minorHAnsi"/>
                <w:bCs/>
                <w:sz w:val="23"/>
                <w:szCs w:val="23"/>
                <w:lang w:eastAsia="ro-RO"/>
              </w:rPr>
              <w:t xml:space="preserve">le </w:t>
            </w:r>
            <w:r w:rsidR="00104A0A" w:rsidRPr="00B650D9">
              <w:rPr>
                <w:rFonts w:eastAsiaTheme="minorHAnsi"/>
                <w:bCs/>
                <w:sz w:val="23"/>
                <w:szCs w:val="23"/>
                <w:lang w:eastAsia="ro-RO"/>
              </w:rPr>
              <w:t>Comisiei Europene,</w:t>
            </w:r>
            <w:r w:rsidR="003E715F" w:rsidRPr="00B650D9">
              <w:rPr>
                <w:rFonts w:eastAsiaTheme="minorHAnsi"/>
                <w:bCs/>
                <w:sz w:val="23"/>
                <w:szCs w:val="23"/>
                <w:lang w:eastAsia="ro-RO"/>
              </w:rPr>
              <w:t xml:space="preserve"> </w:t>
            </w:r>
            <w:r w:rsidR="004806FC" w:rsidRPr="00B650D9">
              <w:rPr>
                <w:rFonts w:eastAsiaTheme="minorHAnsi"/>
                <w:bCs/>
                <w:sz w:val="23"/>
                <w:szCs w:val="23"/>
                <w:lang w:eastAsia="ro-RO"/>
              </w:rPr>
              <w:t>alocarea UE fiind distribuită la nivelul celor 16 programe operaționale, după cum urmează:</w:t>
            </w:r>
            <w:r w:rsidR="002B6530" w:rsidRPr="00B650D9">
              <w:rPr>
                <w:rFonts w:eastAsiaTheme="minorHAnsi"/>
                <w:bCs/>
                <w:sz w:val="23"/>
                <w:szCs w:val="23"/>
                <w:lang w:eastAsia="ro-RO"/>
              </w:rPr>
              <w:t xml:space="preserve"> </w:t>
            </w:r>
            <w:r w:rsidR="00104A0A" w:rsidRPr="00B650D9">
              <w:rPr>
                <w:rFonts w:eastAsiaTheme="minorHAnsi"/>
                <w:bCs/>
                <w:sz w:val="23"/>
                <w:szCs w:val="23"/>
                <w:lang w:eastAsia="ro-RO"/>
              </w:rPr>
              <w:t xml:space="preserve">Program Asistență Tehnică </w:t>
            </w:r>
            <w:r w:rsidR="004806FC" w:rsidRPr="00B650D9">
              <w:rPr>
                <w:rFonts w:eastAsiaTheme="minorHAnsi"/>
                <w:bCs/>
                <w:sz w:val="23"/>
                <w:szCs w:val="23"/>
                <w:lang w:eastAsia="ro-RO"/>
              </w:rPr>
              <w:t>(</w:t>
            </w:r>
            <w:r w:rsidR="00104A0A" w:rsidRPr="00B650D9">
              <w:rPr>
                <w:rFonts w:eastAsiaTheme="minorHAnsi"/>
                <w:bCs/>
                <w:sz w:val="23"/>
                <w:szCs w:val="23"/>
                <w:lang w:eastAsia="ro-RO"/>
              </w:rPr>
              <w:t>Decizia CE nr. C(2022) 6130/22.08.2022</w:t>
            </w:r>
            <w:r w:rsidR="004806FC" w:rsidRPr="00B650D9">
              <w:rPr>
                <w:rFonts w:eastAsiaTheme="minorHAnsi"/>
                <w:bCs/>
                <w:sz w:val="23"/>
                <w:szCs w:val="23"/>
                <w:lang w:eastAsia="ro-RO"/>
              </w:rPr>
              <w:t>)  - 457,49 milioane euro</w:t>
            </w:r>
            <w:r w:rsidR="00104A0A" w:rsidRPr="00B650D9">
              <w:rPr>
                <w:rFonts w:eastAsiaTheme="minorHAnsi"/>
                <w:bCs/>
                <w:sz w:val="23"/>
                <w:szCs w:val="23"/>
                <w:lang w:eastAsia="ro-RO"/>
              </w:rPr>
              <w:t>;</w:t>
            </w:r>
            <w:r w:rsidR="002B6530" w:rsidRPr="00B650D9">
              <w:rPr>
                <w:rFonts w:eastAsiaTheme="minorHAnsi"/>
                <w:bCs/>
                <w:sz w:val="23"/>
                <w:szCs w:val="23"/>
                <w:lang w:eastAsia="ro-RO"/>
              </w:rPr>
              <w:t xml:space="preserve"> </w:t>
            </w:r>
            <w:r w:rsidR="00104A0A" w:rsidRPr="00B650D9">
              <w:rPr>
                <w:rFonts w:eastAsiaTheme="minorHAnsi"/>
                <w:bCs/>
                <w:sz w:val="23"/>
                <w:szCs w:val="23"/>
                <w:lang w:eastAsia="ro-RO"/>
              </w:rPr>
              <w:t>Program Regional Vest</w:t>
            </w:r>
            <w:r w:rsidR="004806FC" w:rsidRPr="00B650D9">
              <w:rPr>
                <w:rFonts w:eastAsiaTheme="minorHAnsi"/>
                <w:bCs/>
                <w:sz w:val="23"/>
                <w:szCs w:val="23"/>
                <w:lang w:eastAsia="ro-RO"/>
              </w:rPr>
              <w:t xml:space="preserve"> </w:t>
            </w:r>
            <w:r w:rsidR="003E715F" w:rsidRPr="00B650D9">
              <w:rPr>
                <w:rFonts w:eastAsiaTheme="minorHAnsi"/>
                <w:bCs/>
                <w:sz w:val="23"/>
                <w:szCs w:val="23"/>
                <w:lang w:eastAsia="ro-RO"/>
              </w:rPr>
              <w:t>(</w:t>
            </w:r>
            <w:r w:rsidR="004806FC" w:rsidRPr="00B650D9">
              <w:rPr>
                <w:rFonts w:eastAsiaTheme="minorHAnsi"/>
                <w:bCs/>
                <w:sz w:val="23"/>
                <w:szCs w:val="23"/>
                <w:lang w:eastAsia="ro-RO"/>
              </w:rPr>
              <w:t>Decizia CE nr.</w:t>
            </w:r>
            <w:r w:rsidR="004806FC" w:rsidRPr="00B650D9">
              <w:rPr>
                <w:sz w:val="23"/>
                <w:szCs w:val="23"/>
              </w:rPr>
              <w:t xml:space="preserve"> </w:t>
            </w:r>
            <w:r w:rsidR="004806FC" w:rsidRPr="00B650D9">
              <w:rPr>
                <w:rFonts w:eastAsiaTheme="minorHAnsi"/>
                <w:bCs/>
                <w:sz w:val="23"/>
                <w:szCs w:val="23"/>
                <w:lang w:eastAsia="ro-RO"/>
              </w:rPr>
              <w:lastRenderedPageBreak/>
              <w:t>C(2022) 7252/07.10.2022</w:t>
            </w:r>
            <w:r w:rsidR="003E715F" w:rsidRPr="00B650D9">
              <w:rPr>
                <w:rFonts w:eastAsiaTheme="minorHAnsi"/>
                <w:bCs/>
                <w:sz w:val="23"/>
                <w:szCs w:val="23"/>
                <w:lang w:eastAsia="ro-RO"/>
              </w:rPr>
              <w:t>) – 981,17 milioane euro</w:t>
            </w:r>
            <w:r w:rsidR="004806FC" w:rsidRPr="00B650D9">
              <w:rPr>
                <w:rFonts w:eastAsiaTheme="minorHAnsi"/>
                <w:bCs/>
                <w:sz w:val="23"/>
                <w:szCs w:val="23"/>
                <w:lang w:eastAsia="ro-RO"/>
              </w:rPr>
              <w:t>;</w:t>
            </w:r>
            <w:r w:rsidR="002B6530" w:rsidRPr="00B650D9">
              <w:rPr>
                <w:rFonts w:eastAsiaTheme="minorHAnsi"/>
                <w:bCs/>
                <w:sz w:val="23"/>
                <w:szCs w:val="23"/>
                <w:lang w:eastAsia="ro-RO"/>
              </w:rPr>
              <w:t xml:space="preserve"> </w:t>
            </w:r>
            <w:r w:rsidR="004806FC" w:rsidRPr="00B650D9">
              <w:rPr>
                <w:rFonts w:eastAsiaTheme="minorHAnsi"/>
                <w:bCs/>
                <w:sz w:val="23"/>
                <w:szCs w:val="23"/>
                <w:lang w:eastAsia="ro-RO"/>
              </w:rPr>
              <w:t xml:space="preserve">Program Regional Sud Muntenia </w:t>
            </w:r>
            <w:r w:rsidR="003E715F" w:rsidRPr="00B650D9">
              <w:rPr>
                <w:rFonts w:eastAsiaTheme="minorHAnsi"/>
                <w:bCs/>
                <w:sz w:val="23"/>
                <w:szCs w:val="23"/>
                <w:lang w:eastAsia="ro-RO"/>
              </w:rPr>
              <w:t>(</w:t>
            </w:r>
            <w:r w:rsidR="004806FC" w:rsidRPr="00B650D9">
              <w:rPr>
                <w:rFonts w:eastAsiaTheme="minorHAnsi"/>
                <w:bCs/>
                <w:sz w:val="23"/>
                <w:szCs w:val="23"/>
                <w:lang w:eastAsia="ro-RO"/>
              </w:rPr>
              <w:t>Decizia CE nr. C(2022) 7253/07.10.2022</w:t>
            </w:r>
            <w:r w:rsidR="003E715F" w:rsidRPr="00B650D9">
              <w:rPr>
                <w:rFonts w:eastAsiaTheme="minorHAnsi"/>
                <w:bCs/>
                <w:sz w:val="23"/>
                <w:szCs w:val="23"/>
                <w:lang w:eastAsia="ro-RO"/>
              </w:rPr>
              <w:t>)</w:t>
            </w:r>
            <w:r w:rsidR="004806FC" w:rsidRPr="00B650D9">
              <w:rPr>
                <w:rFonts w:eastAsiaTheme="minorHAnsi"/>
                <w:bCs/>
                <w:sz w:val="23"/>
                <w:szCs w:val="23"/>
                <w:lang w:eastAsia="ro-RO"/>
              </w:rPr>
              <w:t xml:space="preserve"> - 1,31 miliarde euro;</w:t>
            </w:r>
            <w:r w:rsidR="002B6530" w:rsidRPr="00B650D9">
              <w:rPr>
                <w:rFonts w:eastAsiaTheme="minorHAnsi"/>
                <w:bCs/>
                <w:sz w:val="23"/>
                <w:szCs w:val="23"/>
                <w:lang w:eastAsia="ro-RO"/>
              </w:rPr>
              <w:t xml:space="preserve"> </w:t>
            </w:r>
            <w:r w:rsidR="004806FC" w:rsidRPr="00B650D9">
              <w:rPr>
                <w:rFonts w:eastAsiaTheme="minorHAnsi"/>
                <w:bCs/>
                <w:sz w:val="23"/>
                <w:szCs w:val="23"/>
                <w:lang w:eastAsia="ro-RO"/>
              </w:rPr>
              <w:t xml:space="preserve">Program Regional Nord-Vest </w:t>
            </w:r>
            <w:r w:rsidR="003E715F" w:rsidRPr="00B650D9">
              <w:rPr>
                <w:rFonts w:eastAsiaTheme="minorHAnsi"/>
                <w:bCs/>
                <w:sz w:val="23"/>
                <w:szCs w:val="23"/>
                <w:lang w:eastAsia="ro-RO"/>
              </w:rPr>
              <w:t>(</w:t>
            </w:r>
            <w:r w:rsidR="004806FC" w:rsidRPr="00B650D9">
              <w:rPr>
                <w:rFonts w:eastAsiaTheme="minorHAnsi"/>
                <w:bCs/>
                <w:sz w:val="23"/>
                <w:szCs w:val="23"/>
                <w:lang w:eastAsia="ro-RO"/>
              </w:rPr>
              <w:t>Decizia CE nr.</w:t>
            </w:r>
            <w:r w:rsidR="004806FC" w:rsidRPr="00B650D9">
              <w:rPr>
                <w:sz w:val="23"/>
                <w:szCs w:val="23"/>
              </w:rPr>
              <w:t xml:space="preserve"> </w:t>
            </w:r>
            <w:r w:rsidR="004806FC" w:rsidRPr="00B650D9">
              <w:rPr>
                <w:rFonts w:eastAsiaTheme="minorHAnsi"/>
                <w:bCs/>
                <w:sz w:val="23"/>
                <w:szCs w:val="23"/>
                <w:lang w:eastAsia="ro-RO"/>
              </w:rPr>
              <w:t>C(2022) 7386/11.10.2022</w:t>
            </w:r>
            <w:r w:rsidR="003E715F" w:rsidRPr="00B650D9">
              <w:rPr>
                <w:rFonts w:eastAsiaTheme="minorHAnsi"/>
                <w:bCs/>
                <w:sz w:val="23"/>
                <w:szCs w:val="23"/>
                <w:lang w:eastAsia="ro-RO"/>
              </w:rPr>
              <w:t>) - 1,19 miliarde euro</w:t>
            </w:r>
            <w:r w:rsidR="004806FC" w:rsidRPr="00B650D9">
              <w:rPr>
                <w:rFonts w:eastAsiaTheme="minorHAnsi"/>
                <w:bCs/>
                <w:sz w:val="23"/>
                <w:szCs w:val="23"/>
                <w:lang w:eastAsia="ro-RO"/>
              </w:rPr>
              <w:t>;</w:t>
            </w:r>
            <w:r w:rsidR="002B6530" w:rsidRPr="00B650D9">
              <w:rPr>
                <w:rFonts w:eastAsiaTheme="minorHAnsi"/>
                <w:bCs/>
                <w:sz w:val="23"/>
                <w:szCs w:val="23"/>
                <w:lang w:eastAsia="ro-RO"/>
              </w:rPr>
              <w:t xml:space="preserve">  </w:t>
            </w:r>
            <w:r w:rsidR="004806FC" w:rsidRPr="00B650D9">
              <w:rPr>
                <w:rFonts w:eastAsiaTheme="minorHAnsi"/>
                <w:bCs/>
                <w:sz w:val="23"/>
                <w:szCs w:val="23"/>
                <w:lang w:eastAsia="ro-RO"/>
              </w:rPr>
              <w:t xml:space="preserve">Program Regional Sud Vest Oltenia </w:t>
            </w:r>
            <w:r w:rsidR="003E715F" w:rsidRPr="00B650D9">
              <w:rPr>
                <w:rFonts w:eastAsiaTheme="minorHAnsi"/>
                <w:bCs/>
                <w:sz w:val="23"/>
                <w:szCs w:val="23"/>
                <w:lang w:eastAsia="ro-RO"/>
              </w:rPr>
              <w:t>(</w:t>
            </w:r>
            <w:r w:rsidR="004806FC" w:rsidRPr="00B650D9">
              <w:rPr>
                <w:rFonts w:eastAsiaTheme="minorHAnsi"/>
                <w:bCs/>
                <w:sz w:val="23"/>
                <w:szCs w:val="23"/>
                <w:lang w:eastAsia="ro-RO"/>
              </w:rPr>
              <w:t>Decizia CE nr. C(2022) 7441/14.10.2022</w:t>
            </w:r>
            <w:r w:rsidR="003E715F" w:rsidRPr="00B650D9">
              <w:rPr>
                <w:rFonts w:eastAsiaTheme="minorHAnsi"/>
                <w:bCs/>
                <w:sz w:val="23"/>
                <w:szCs w:val="23"/>
                <w:lang w:eastAsia="ro-RO"/>
              </w:rPr>
              <w:t>)</w:t>
            </w:r>
            <w:r w:rsidR="004806FC" w:rsidRPr="00B650D9">
              <w:rPr>
                <w:rFonts w:eastAsiaTheme="minorHAnsi"/>
                <w:bCs/>
                <w:sz w:val="23"/>
                <w:szCs w:val="23"/>
                <w:lang w:eastAsia="ro-RO"/>
              </w:rPr>
              <w:t xml:space="preserve"> – 997,84 milioane euro;</w:t>
            </w:r>
            <w:r w:rsidR="002B6530" w:rsidRPr="00B650D9">
              <w:rPr>
                <w:rFonts w:eastAsiaTheme="minorHAnsi"/>
                <w:bCs/>
                <w:sz w:val="23"/>
                <w:szCs w:val="23"/>
                <w:lang w:eastAsia="ro-RO"/>
              </w:rPr>
              <w:t xml:space="preserve"> </w:t>
            </w:r>
            <w:r w:rsidR="004806FC" w:rsidRPr="00B650D9">
              <w:rPr>
                <w:rFonts w:eastAsiaTheme="minorHAnsi"/>
                <w:bCs/>
                <w:sz w:val="23"/>
                <w:szCs w:val="23"/>
                <w:lang w:eastAsia="ro-RO"/>
              </w:rPr>
              <w:t xml:space="preserve">Program Regional Sud-Est </w:t>
            </w:r>
            <w:r w:rsidR="003E715F" w:rsidRPr="00B650D9">
              <w:rPr>
                <w:rFonts w:eastAsiaTheme="minorHAnsi"/>
                <w:bCs/>
                <w:sz w:val="23"/>
                <w:szCs w:val="23"/>
                <w:lang w:eastAsia="ro-RO"/>
              </w:rPr>
              <w:t>(</w:t>
            </w:r>
            <w:r w:rsidR="004806FC" w:rsidRPr="00B650D9">
              <w:rPr>
                <w:rFonts w:eastAsiaTheme="minorHAnsi"/>
                <w:bCs/>
                <w:sz w:val="23"/>
                <w:szCs w:val="23"/>
                <w:lang w:eastAsia="ro-RO"/>
              </w:rPr>
              <w:t>Decizia CE nr.</w:t>
            </w:r>
            <w:r w:rsidR="004806FC" w:rsidRPr="00B650D9">
              <w:rPr>
                <w:sz w:val="23"/>
                <w:szCs w:val="23"/>
              </w:rPr>
              <w:t xml:space="preserve"> </w:t>
            </w:r>
            <w:r w:rsidR="004806FC" w:rsidRPr="00B650D9">
              <w:rPr>
                <w:rFonts w:eastAsiaTheme="minorHAnsi"/>
                <w:bCs/>
                <w:sz w:val="23"/>
                <w:szCs w:val="23"/>
                <w:lang w:eastAsia="ro-RO"/>
              </w:rPr>
              <w:t>C(2022) 7639/21.10.2022</w:t>
            </w:r>
            <w:r w:rsidR="003E715F" w:rsidRPr="00B650D9">
              <w:rPr>
                <w:rFonts w:eastAsiaTheme="minorHAnsi"/>
                <w:bCs/>
                <w:sz w:val="23"/>
                <w:szCs w:val="23"/>
                <w:lang w:eastAsia="ro-RO"/>
              </w:rPr>
              <w:t>)</w:t>
            </w:r>
            <w:r w:rsidR="004806FC" w:rsidRPr="00B650D9">
              <w:rPr>
                <w:rFonts w:eastAsiaTheme="minorHAnsi"/>
                <w:bCs/>
                <w:sz w:val="23"/>
                <w:szCs w:val="23"/>
                <w:lang w:eastAsia="ro-RO"/>
              </w:rPr>
              <w:t xml:space="preserve"> - 1,23 miliarde euro;</w:t>
            </w:r>
            <w:r w:rsidR="002B6530" w:rsidRPr="00B650D9">
              <w:rPr>
                <w:rFonts w:eastAsiaTheme="minorHAnsi"/>
                <w:bCs/>
                <w:sz w:val="23"/>
                <w:szCs w:val="23"/>
                <w:lang w:eastAsia="ro-RO"/>
              </w:rPr>
              <w:t xml:space="preserve"> </w:t>
            </w:r>
            <w:r w:rsidR="004806FC" w:rsidRPr="00B650D9">
              <w:rPr>
                <w:rFonts w:eastAsiaTheme="minorHAnsi"/>
                <w:bCs/>
                <w:sz w:val="23"/>
                <w:szCs w:val="23"/>
                <w:lang w:eastAsia="ro-RO"/>
              </w:rPr>
              <w:t xml:space="preserve">Program Regional Nord-Est </w:t>
            </w:r>
            <w:r w:rsidR="003E715F" w:rsidRPr="00B650D9">
              <w:rPr>
                <w:rFonts w:eastAsiaTheme="minorHAnsi"/>
                <w:bCs/>
                <w:sz w:val="23"/>
                <w:szCs w:val="23"/>
                <w:lang w:eastAsia="ro-RO"/>
              </w:rPr>
              <w:t>(</w:t>
            </w:r>
            <w:r w:rsidR="004806FC" w:rsidRPr="00B650D9">
              <w:rPr>
                <w:rFonts w:eastAsiaTheme="minorHAnsi"/>
                <w:bCs/>
                <w:sz w:val="23"/>
                <w:szCs w:val="23"/>
                <w:lang w:eastAsia="ro-RO"/>
              </w:rPr>
              <w:t>Decizia CE nr.</w:t>
            </w:r>
            <w:r w:rsidR="004806FC" w:rsidRPr="00B650D9">
              <w:rPr>
                <w:sz w:val="23"/>
                <w:szCs w:val="23"/>
              </w:rPr>
              <w:t xml:space="preserve"> </w:t>
            </w:r>
            <w:r w:rsidR="004806FC" w:rsidRPr="00B650D9">
              <w:rPr>
                <w:rFonts w:eastAsiaTheme="minorHAnsi"/>
                <w:bCs/>
                <w:sz w:val="23"/>
                <w:szCs w:val="23"/>
                <w:lang w:eastAsia="ro-RO"/>
              </w:rPr>
              <w:t>C(2022) 7637/21.10.2022</w:t>
            </w:r>
            <w:r w:rsidR="003E715F" w:rsidRPr="00B650D9">
              <w:rPr>
                <w:rFonts w:eastAsiaTheme="minorHAnsi"/>
                <w:bCs/>
                <w:sz w:val="23"/>
                <w:szCs w:val="23"/>
                <w:lang w:eastAsia="ro-RO"/>
              </w:rPr>
              <w:t>) - 1,45 miliarde euro</w:t>
            </w:r>
            <w:r w:rsidR="004806FC" w:rsidRPr="00B650D9">
              <w:rPr>
                <w:rFonts w:eastAsiaTheme="minorHAnsi"/>
                <w:bCs/>
                <w:sz w:val="23"/>
                <w:szCs w:val="23"/>
                <w:lang w:eastAsia="ro-RO"/>
              </w:rPr>
              <w:t>;</w:t>
            </w:r>
            <w:r w:rsidR="002B6530" w:rsidRPr="00B650D9">
              <w:rPr>
                <w:rFonts w:eastAsiaTheme="minorHAnsi"/>
                <w:bCs/>
                <w:sz w:val="23"/>
                <w:szCs w:val="23"/>
                <w:lang w:eastAsia="ro-RO"/>
              </w:rPr>
              <w:t xml:space="preserve"> </w:t>
            </w:r>
            <w:r w:rsidR="004806FC" w:rsidRPr="00B650D9">
              <w:rPr>
                <w:rFonts w:eastAsiaTheme="minorHAnsi"/>
                <w:bCs/>
                <w:sz w:val="23"/>
                <w:szCs w:val="23"/>
                <w:lang w:eastAsia="ro-RO"/>
              </w:rPr>
              <w:t xml:space="preserve">Program Regional Centru </w:t>
            </w:r>
            <w:r w:rsidR="003E715F" w:rsidRPr="00B650D9">
              <w:rPr>
                <w:rFonts w:eastAsiaTheme="minorHAnsi"/>
                <w:bCs/>
                <w:sz w:val="23"/>
                <w:szCs w:val="23"/>
                <w:lang w:eastAsia="ro-RO"/>
              </w:rPr>
              <w:t>(</w:t>
            </w:r>
            <w:r w:rsidR="004806FC" w:rsidRPr="00B650D9">
              <w:rPr>
                <w:rFonts w:eastAsiaTheme="minorHAnsi"/>
                <w:bCs/>
                <w:sz w:val="23"/>
                <w:szCs w:val="23"/>
                <w:lang w:eastAsia="ro-RO"/>
              </w:rPr>
              <w:t>Decizia CE nr.</w:t>
            </w:r>
            <w:r w:rsidR="004806FC" w:rsidRPr="00B650D9">
              <w:rPr>
                <w:sz w:val="23"/>
                <w:szCs w:val="23"/>
              </w:rPr>
              <w:t xml:space="preserve"> </w:t>
            </w:r>
            <w:r w:rsidR="004806FC" w:rsidRPr="00B650D9">
              <w:rPr>
                <w:rFonts w:eastAsiaTheme="minorHAnsi"/>
                <w:bCs/>
                <w:sz w:val="23"/>
                <w:szCs w:val="23"/>
                <w:lang w:eastAsia="ro-RO"/>
              </w:rPr>
              <w:t>C(2022) 7893/26.10.2022</w:t>
            </w:r>
            <w:r w:rsidR="003E715F" w:rsidRPr="00B650D9">
              <w:rPr>
                <w:rFonts w:eastAsiaTheme="minorHAnsi"/>
                <w:bCs/>
                <w:sz w:val="23"/>
                <w:szCs w:val="23"/>
                <w:lang w:eastAsia="ro-RO"/>
              </w:rPr>
              <w:t>) - 1,15 miliarde euro</w:t>
            </w:r>
            <w:r w:rsidR="004806FC" w:rsidRPr="00B650D9">
              <w:rPr>
                <w:rFonts w:eastAsiaTheme="minorHAnsi"/>
                <w:bCs/>
                <w:sz w:val="23"/>
                <w:szCs w:val="23"/>
                <w:lang w:eastAsia="ro-RO"/>
              </w:rPr>
              <w:t>;</w:t>
            </w:r>
            <w:r w:rsidR="002B6530" w:rsidRPr="00B650D9">
              <w:rPr>
                <w:rFonts w:eastAsiaTheme="minorHAnsi"/>
                <w:bCs/>
                <w:sz w:val="23"/>
                <w:szCs w:val="23"/>
                <w:lang w:eastAsia="ro-RO"/>
              </w:rPr>
              <w:t xml:space="preserve"> </w:t>
            </w:r>
            <w:r w:rsidR="004806FC" w:rsidRPr="00B650D9">
              <w:rPr>
                <w:rFonts w:eastAsiaTheme="minorHAnsi"/>
                <w:bCs/>
                <w:sz w:val="23"/>
                <w:szCs w:val="23"/>
                <w:lang w:eastAsia="ro-RO"/>
              </w:rPr>
              <w:t xml:space="preserve">Program Dezvoltare Durabilă </w:t>
            </w:r>
            <w:r w:rsidR="003E715F" w:rsidRPr="00B650D9">
              <w:rPr>
                <w:rFonts w:eastAsiaTheme="minorHAnsi"/>
                <w:bCs/>
                <w:sz w:val="23"/>
                <w:szCs w:val="23"/>
                <w:lang w:eastAsia="ro-RO"/>
              </w:rPr>
              <w:t>(</w:t>
            </w:r>
            <w:r w:rsidR="004806FC" w:rsidRPr="00B650D9">
              <w:rPr>
                <w:rFonts w:eastAsiaTheme="minorHAnsi"/>
                <w:bCs/>
                <w:sz w:val="23"/>
                <w:szCs w:val="23"/>
                <w:lang w:eastAsia="ro-RO"/>
              </w:rPr>
              <w:t>Decizia CE nr.</w:t>
            </w:r>
            <w:r w:rsidR="004806FC" w:rsidRPr="00B650D9">
              <w:rPr>
                <w:sz w:val="23"/>
                <w:szCs w:val="23"/>
              </w:rPr>
              <w:t xml:space="preserve"> </w:t>
            </w:r>
            <w:r w:rsidR="004806FC" w:rsidRPr="00B650D9">
              <w:rPr>
                <w:rFonts w:eastAsiaTheme="minorHAnsi"/>
                <w:bCs/>
                <w:sz w:val="23"/>
                <w:szCs w:val="23"/>
                <w:lang w:eastAsia="ro-RO"/>
              </w:rPr>
              <w:t>C (2022) 8703/24.11.2022</w:t>
            </w:r>
            <w:r w:rsidR="003E715F" w:rsidRPr="00B650D9">
              <w:rPr>
                <w:rFonts w:eastAsiaTheme="minorHAnsi"/>
                <w:bCs/>
                <w:sz w:val="23"/>
                <w:szCs w:val="23"/>
                <w:lang w:eastAsia="ro-RO"/>
              </w:rPr>
              <w:t>)</w:t>
            </w:r>
            <w:r w:rsidR="004806FC" w:rsidRPr="00B650D9">
              <w:rPr>
                <w:rFonts w:eastAsiaTheme="minorHAnsi"/>
                <w:bCs/>
                <w:sz w:val="23"/>
                <w:szCs w:val="23"/>
                <w:lang w:eastAsia="ro-RO"/>
              </w:rPr>
              <w:t xml:space="preserve"> - 4,04 miliarde euro;</w:t>
            </w:r>
            <w:r w:rsidR="002B6530" w:rsidRPr="00B650D9">
              <w:rPr>
                <w:rFonts w:eastAsiaTheme="minorHAnsi"/>
                <w:bCs/>
                <w:sz w:val="23"/>
                <w:szCs w:val="23"/>
                <w:lang w:eastAsia="ro-RO"/>
              </w:rPr>
              <w:t xml:space="preserve"> </w:t>
            </w:r>
            <w:r w:rsidR="004806FC" w:rsidRPr="00B650D9">
              <w:rPr>
                <w:rFonts w:eastAsiaTheme="minorHAnsi"/>
                <w:bCs/>
                <w:sz w:val="23"/>
                <w:szCs w:val="23"/>
                <w:lang w:eastAsia="ro-RO"/>
              </w:rPr>
              <w:t>Program Sănătate</w:t>
            </w:r>
            <w:r w:rsidR="003E715F" w:rsidRPr="00B650D9">
              <w:rPr>
                <w:rFonts w:eastAsiaTheme="minorHAnsi"/>
                <w:bCs/>
                <w:sz w:val="23"/>
                <w:szCs w:val="23"/>
                <w:lang w:eastAsia="ro-RO"/>
              </w:rPr>
              <w:t xml:space="preserve"> (</w:t>
            </w:r>
            <w:r w:rsidR="004806FC" w:rsidRPr="00B650D9">
              <w:rPr>
                <w:rFonts w:eastAsiaTheme="minorHAnsi"/>
                <w:bCs/>
                <w:sz w:val="23"/>
                <w:szCs w:val="23"/>
                <w:lang w:eastAsia="ro-RO"/>
              </w:rPr>
              <w:t>Decizia CE nr. C(2022) 8934/30.11.2022</w:t>
            </w:r>
            <w:r w:rsidR="003E715F" w:rsidRPr="00B650D9">
              <w:rPr>
                <w:rFonts w:eastAsiaTheme="minorHAnsi"/>
                <w:bCs/>
                <w:sz w:val="23"/>
                <w:szCs w:val="23"/>
                <w:lang w:eastAsia="ro-RO"/>
              </w:rPr>
              <w:t>)</w:t>
            </w:r>
            <w:r w:rsidR="004806FC" w:rsidRPr="00B650D9">
              <w:rPr>
                <w:rFonts w:eastAsiaTheme="minorHAnsi"/>
                <w:bCs/>
                <w:sz w:val="23"/>
                <w:szCs w:val="23"/>
                <w:lang w:eastAsia="ro-RO"/>
              </w:rPr>
              <w:t xml:space="preserve"> </w:t>
            </w:r>
            <w:r w:rsidR="003E715F" w:rsidRPr="00B650D9">
              <w:rPr>
                <w:rFonts w:eastAsiaTheme="minorHAnsi"/>
                <w:bCs/>
                <w:sz w:val="23"/>
                <w:szCs w:val="23"/>
                <w:lang w:eastAsia="ro-RO"/>
              </w:rPr>
              <w:t xml:space="preserve">- </w:t>
            </w:r>
            <w:r w:rsidR="004806FC" w:rsidRPr="00B650D9">
              <w:rPr>
                <w:rFonts w:eastAsiaTheme="minorHAnsi"/>
                <w:bCs/>
                <w:sz w:val="23"/>
                <w:szCs w:val="23"/>
                <w:lang w:eastAsia="ro-RO"/>
              </w:rPr>
              <w:t>2,27 miliarde euro;</w:t>
            </w:r>
            <w:r w:rsidR="002B6530" w:rsidRPr="00B650D9">
              <w:rPr>
                <w:rFonts w:eastAsiaTheme="minorHAnsi"/>
                <w:bCs/>
                <w:sz w:val="23"/>
                <w:szCs w:val="23"/>
                <w:lang w:eastAsia="ro-RO"/>
              </w:rPr>
              <w:t xml:space="preserve"> </w:t>
            </w:r>
            <w:r w:rsidR="004806FC" w:rsidRPr="00B650D9">
              <w:rPr>
                <w:rFonts w:eastAsiaTheme="minorHAnsi"/>
                <w:bCs/>
                <w:sz w:val="23"/>
                <w:szCs w:val="23"/>
                <w:lang w:eastAsia="ro-RO"/>
              </w:rPr>
              <w:t xml:space="preserve">Program Tranziție Justă </w:t>
            </w:r>
            <w:r w:rsidR="003E715F" w:rsidRPr="00B650D9">
              <w:rPr>
                <w:rFonts w:eastAsiaTheme="minorHAnsi"/>
                <w:bCs/>
                <w:sz w:val="23"/>
                <w:szCs w:val="23"/>
                <w:lang w:eastAsia="ro-RO"/>
              </w:rPr>
              <w:t>(</w:t>
            </w:r>
            <w:r w:rsidR="004806FC" w:rsidRPr="00B650D9">
              <w:rPr>
                <w:rFonts w:eastAsiaTheme="minorHAnsi"/>
                <w:bCs/>
                <w:sz w:val="23"/>
                <w:szCs w:val="23"/>
                <w:lang w:eastAsia="ro-RO"/>
              </w:rPr>
              <w:t>Decizia CE nr. C(2022) 9125/02.12.2022</w:t>
            </w:r>
            <w:r w:rsidR="003E715F" w:rsidRPr="00B650D9">
              <w:rPr>
                <w:rFonts w:eastAsiaTheme="minorHAnsi"/>
                <w:bCs/>
                <w:sz w:val="23"/>
                <w:szCs w:val="23"/>
                <w:lang w:eastAsia="ro-RO"/>
              </w:rPr>
              <w:t>)</w:t>
            </w:r>
            <w:r w:rsidR="004806FC" w:rsidRPr="00B650D9">
              <w:rPr>
                <w:rFonts w:eastAsiaTheme="minorHAnsi"/>
                <w:bCs/>
                <w:sz w:val="23"/>
                <w:szCs w:val="23"/>
                <w:lang w:eastAsia="ro-RO"/>
              </w:rPr>
              <w:t xml:space="preserve"> - 2,14 miliarde euro;</w:t>
            </w:r>
            <w:r w:rsidR="002B6530" w:rsidRPr="00B650D9">
              <w:rPr>
                <w:rFonts w:eastAsiaTheme="minorHAnsi"/>
                <w:bCs/>
                <w:sz w:val="23"/>
                <w:szCs w:val="23"/>
                <w:lang w:eastAsia="ro-RO"/>
              </w:rPr>
              <w:t xml:space="preserve"> </w:t>
            </w:r>
            <w:r w:rsidR="004806FC" w:rsidRPr="00B650D9">
              <w:rPr>
                <w:rFonts w:eastAsiaTheme="minorHAnsi"/>
                <w:bCs/>
                <w:sz w:val="23"/>
                <w:szCs w:val="23"/>
                <w:lang w:eastAsia="ro-RO"/>
              </w:rPr>
              <w:t xml:space="preserve">Program Regional București-Ilfov </w:t>
            </w:r>
            <w:r w:rsidR="003E715F" w:rsidRPr="00B650D9">
              <w:rPr>
                <w:rFonts w:eastAsiaTheme="minorHAnsi"/>
                <w:bCs/>
                <w:sz w:val="23"/>
                <w:szCs w:val="23"/>
                <w:lang w:eastAsia="ro-RO"/>
              </w:rPr>
              <w:t>(</w:t>
            </w:r>
            <w:r w:rsidR="004806FC" w:rsidRPr="00B650D9">
              <w:rPr>
                <w:rFonts w:eastAsiaTheme="minorHAnsi"/>
                <w:bCs/>
                <w:sz w:val="23"/>
                <w:szCs w:val="23"/>
                <w:lang w:eastAsia="ro-RO"/>
              </w:rPr>
              <w:t>Decizia CE nr. C(2022) 9211/05.12.2022</w:t>
            </w:r>
            <w:r w:rsidR="003E715F" w:rsidRPr="00B650D9">
              <w:rPr>
                <w:rFonts w:eastAsiaTheme="minorHAnsi"/>
                <w:bCs/>
                <w:sz w:val="23"/>
                <w:szCs w:val="23"/>
                <w:lang w:eastAsia="ro-RO"/>
              </w:rPr>
              <w:t>)</w:t>
            </w:r>
            <w:r w:rsidR="004806FC" w:rsidRPr="00B650D9">
              <w:rPr>
                <w:rFonts w:eastAsiaTheme="minorHAnsi"/>
                <w:bCs/>
                <w:sz w:val="23"/>
                <w:szCs w:val="23"/>
                <w:lang w:eastAsia="ro-RO"/>
              </w:rPr>
              <w:t xml:space="preserve"> – 586,59 milioane euro;</w:t>
            </w:r>
            <w:r w:rsidR="002B6530" w:rsidRPr="00B650D9">
              <w:rPr>
                <w:rFonts w:eastAsiaTheme="minorHAnsi"/>
                <w:bCs/>
                <w:sz w:val="23"/>
                <w:szCs w:val="23"/>
                <w:lang w:eastAsia="ro-RO"/>
              </w:rPr>
              <w:t xml:space="preserve"> </w:t>
            </w:r>
            <w:r w:rsidR="004806FC" w:rsidRPr="00B650D9">
              <w:rPr>
                <w:rFonts w:eastAsiaTheme="minorHAnsi"/>
                <w:bCs/>
                <w:sz w:val="23"/>
                <w:szCs w:val="23"/>
                <w:lang w:eastAsia="ro-RO"/>
              </w:rPr>
              <w:t xml:space="preserve">Program Creștere Inteligentă, Digitalizare și Instrumente Financiare </w:t>
            </w:r>
            <w:r w:rsidR="003E715F" w:rsidRPr="00B650D9">
              <w:rPr>
                <w:rFonts w:eastAsiaTheme="minorHAnsi"/>
                <w:bCs/>
                <w:sz w:val="23"/>
                <w:szCs w:val="23"/>
                <w:lang w:eastAsia="ro-RO"/>
              </w:rPr>
              <w:t>(</w:t>
            </w:r>
            <w:r w:rsidR="004806FC" w:rsidRPr="00B650D9">
              <w:rPr>
                <w:rFonts w:eastAsiaTheme="minorHAnsi"/>
                <w:bCs/>
                <w:sz w:val="23"/>
                <w:szCs w:val="23"/>
                <w:lang w:eastAsia="ro-RO"/>
              </w:rPr>
              <w:t>Decizia CE nr. C(2022) 9445/09.12.2022</w:t>
            </w:r>
            <w:r w:rsidR="003E715F" w:rsidRPr="00B650D9">
              <w:rPr>
                <w:rFonts w:eastAsiaTheme="minorHAnsi"/>
                <w:bCs/>
                <w:sz w:val="23"/>
                <w:szCs w:val="23"/>
                <w:lang w:eastAsia="ro-RO"/>
              </w:rPr>
              <w:t>)</w:t>
            </w:r>
            <w:r w:rsidR="004806FC" w:rsidRPr="00B650D9">
              <w:rPr>
                <w:rFonts w:eastAsiaTheme="minorHAnsi"/>
                <w:bCs/>
                <w:sz w:val="23"/>
                <w:szCs w:val="23"/>
                <w:lang w:eastAsia="ro-RO"/>
              </w:rPr>
              <w:t xml:space="preserve"> - 1,65 miliarde euro;</w:t>
            </w:r>
            <w:r w:rsidR="002B6530" w:rsidRPr="00B650D9">
              <w:rPr>
                <w:rFonts w:eastAsiaTheme="minorHAnsi"/>
                <w:bCs/>
                <w:sz w:val="23"/>
                <w:szCs w:val="23"/>
                <w:lang w:eastAsia="ro-RO"/>
              </w:rPr>
              <w:t xml:space="preserve"> </w:t>
            </w:r>
            <w:r w:rsidR="004806FC" w:rsidRPr="00B650D9">
              <w:rPr>
                <w:rFonts w:eastAsiaTheme="minorHAnsi"/>
                <w:bCs/>
                <w:sz w:val="23"/>
                <w:szCs w:val="23"/>
                <w:lang w:eastAsia="ro-RO"/>
              </w:rPr>
              <w:t xml:space="preserve">Programul Educație și Ocupare </w:t>
            </w:r>
            <w:r w:rsidR="003E715F" w:rsidRPr="00B650D9">
              <w:rPr>
                <w:rFonts w:eastAsiaTheme="minorHAnsi"/>
                <w:bCs/>
                <w:sz w:val="23"/>
                <w:szCs w:val="23"/>
                <w:lang w:eastAsia="ro-RO"/>
              </w:rPr>
              <w:t>(</w:t>
            </w:r>
            <w:r w:rsidR="004806FC" w:rsidRPr="00B650D9">
              <w:rPr>
                <w:rFonts w:eastAsiaTheme="minorHAnsi"/>
                <w:bCs/>
                <w:sz w:val="23"/>
                <w:szCs w:val="23"/>
                <w:lang w:eastAsia="ro-RO"/>
              </w:rPr>
              <w:t>Decizia CE nr. C(2022) 9362/09.12.2022</w:t>
            </w:r>
            <w:r w:rsidR="003E715F" w:rsidRPr="00B650D9">
              <w:rPr>
                <w:rFonts w:eastAsiaTheme="minorHAnsi"/>
                <w:bCs/>
                <w:sz w:val="23"/>
                <w:szCs w:val="23"/>
                <w:lang w:eastAsia="ro-RO"/>
              </w:rPr>
              <w:t>)</w:t>
            </w:r>
            <w:r w:rsidR="004806FC" w:rsidRPr="00B650D9">
              <w:rPr>
                <w:rFonts w:eastAsiaTheme="minorHAnsi"/>
                <w:bCs/>
                <w:sz w:val="23"/>
                <w:szCs w:val="23"/>
                <w:lang w:eastAsia="ro-RO"/>
              </w:rPr>
              <w:t xml:space="preserve"> - 3,48 miliarde euro;</w:t>
            </w:r>
            <w:r w:rsidR="002B6530" w:rsidRPr="00B650D9">
              <w:rPr>
                <w:rFonts w:eastAsiaTheme="minorHAnsi"/>
                <w:bCs/>
                <w:sz w:val="23"/>
                <w:szCs w:val="23"/>
                <w:lang w:eastAsia="ro-RO"/>
              </w:rPr>
              <w:t xml:space="preserve"> </w:t>
            </w:r>
            <w:r w:rsidR="004806FC" w:rsidRPr="00B650D9">
              <w:rPr>
                <w:rFonts w:eastAsiaTheme="minorHAnsi"/>
                <w:bCs/>
                <w:sz w:val="23"/>
                <w:szCs w:val="23"/>
                <w:lang w:eastAsia="ro-RO"/>
              </w:rPr>
              <w:t xml:space="preserve">Program Incluziune și Demnitate Socială </w:t>
            </w:r>
            <w:r w:rsidR="003E715F" w:rsidRPr="00B650D9">
              <w:rPr>
                <w:rFonts w:eastAsiaTheme="minorHAnsi"/>
                <w:bCs/>
                <w:sz w:val="23"/>
                <w:szCs w:val="23"/>
                <w:lang w:eastAsia="ro-RO"/>
              </w:rPr>
              <w:t>(</w:t>
            </w:r>
            <w:r w:rsidR="004806FC" w:rsidRPr="00B650D9">
              <w:rPr>
                <w:rFonts w:eastAsiaTheme="minorHAnsi"/>
                <w:bCs/>
                <w:sz w:val="23"/>
                <w:szCs w:val="23"/>
                <w:lang w:eastAsia="ro-RO"/>
              </w:rPr>
              <w:t>Decizia CE nr.</w:t>
            </w:r>
            <w:r w:rsidR="004806FC" w:rsidRPr="00B650D9">
              <w:rPr>
                <w:sz w:val="23"/>
                <w:szCs w:val="23"/>
              </w:rPr>
              <w:t xml:space="preserve"> </w:t>
            </w:r>
            <w:r w:rsidR="004806FC" w:rsidRPr="00B650D9">
              <w:rPr>
                <w:rFonts w:eastAsiaTheme="minorHAnsi"/>
                <w:bCs/>
                <w:sz w:val="23"/>
                <w:szCs w:val="23"/>
                <w:lang w:eastAsia="ro-RO"/>
              </w:rPr>
              <w:t>C (2022) 9635/14.12.2022</w:t>
            </w:r>
            <w:r w:rsidR="003E715F" w:rsidRPr="00B650D9">
              <w:rPr>
                <w:rFonts w:eastAsiaTheme="minorHAnsi"/>
                <w:bCs/>
                <w:sz w:val="23"/>
                <w:szCs w:val="23"/>
                <w:lang w:eastAsia="ro-RO"/>
              </w:rPr>
              <w:t>)</w:t>
            </w:r>
            <w:r w:rsidR="004806FC" w:rsidRPr="00B650D9">
              <w:rPr>
                <w:rFonts w:eastAsiaTheme="minorHAnsi"/>
                <w:bCs/>
                <w:sz w:val="23"/>
                <w:szCs w:val="23"/>
                <w:lang w:eastAsia="ro-RO"/>
              </w:rPr>
              <w:t xml:space="preserve"> – 3</w:t>
            </w:r>
            <w:r w:rsidR="001110D7" w:rsidRPr="00B650D9">
              <w:rPr>
                <w:rFonts w:eastAsiaTheme="minorHAnsi"/>
                <w:bCs/>
                <w:sz w:val="23"/>
                <w:szCs w:val="23"/>
                <w:lang w:eastAsia="ro-RO"/>
              </w:rPr>
              <w:t>,</w:t>
            </w:r>
            <w:r w:rsidR="004806FC" w:rsidRPr="00B650D9">
              <w:rPr>
                <w:rFonts w:eastAsiaTheme="minorHAnsi"/>
                <w:bCs/>
                <w:sz w:val="23"/>
                <w:szCs w:val="23"/>
                <w:lang w:eastAsia="ro-RO"/>
              </w:rPr>
              <w:t>36 miliarde euro;</w:t>
            </w:r>
            <w:r w:rsidR="002B6530" w:rsidRPr="00B650D9">
              <w:rPr>
                <w:rFonts w:eastAsiaTheme="minorHAnsi"/>
                <w:bCs/>
                <w:sz w:val="23"/>
                <w:szCs w:val="23"/>
                <w:lang w:eastAsia="ro-RO"/>
              </w:rPr>
              <w:t xml:space="preserve"> </w:t>
            </w:r>
            <w:r w:rsidR="004806FC" w:rsidRPr="00B650D9">
              <w:rPr>
                <w:rFonts w:eastAsiaTheme="minorHAnsi"/>
                <w:bCs/>
                <w:sz w:val="23"/>
                <w:szCs w:val="23"/>
                <w:lang w:eastAsia="ro-RO"/>
              </w:rPr>
              <w:t xml:space="preserve">Program Transport </w:t>
            </w:r>
            <w:r w:rsidR="003E715F" w:rsidRPr="00B650D9">
              <w:rPr>
                <w:rFonts w:eastAsiaTheme="minorHAnsi"/>
                <w:bCs/>
                <w:sz w:val="23"/>
                <w:szCs w:val="23"/>
                <w:lang w:eastAsia="ro-RO"/>
              </w:rPr>
              <w:t>(</w:t>
            </w:r>
            <w:r w:rsidR="004806FC" w:rsidRPr="00B650D9">
              <w:rPr>
                <w:rFonts w:eastAsiaTheme="minorHAnsi"/>
                <w:bCs/>
                <w:sz w:val="23"/>
                <w:szCs w:val="23"/>
                <w:lang w:eastAsia="ro-RO"/>
              </w:rPr>
              <w:t>Decizia CE nr. C(2022) 9754/16.12.2022</w:t>
            </w:r>
            <w:r w:rsidR="003E715F" w:rsidRPr="00B650D9">
              <w:rPr>
                <w:rFonts w:eastAsiaTheme="minorHAnsi"/>
                <w:bCs/>
                <w:sz w:val="23"/>
                <w:szCs w:val="23"/>
                <w:lang w:eastAsia="ro-RO"/>
              </w:rPr>
              <w:t>)</w:t>
            </w:r>
            <w:r w:rsidR="004806FC" w:rsidRPr="00B650D9">
              <w:rPr>
                <w:rFonts w:eastAsiaTheme="minorHAnsi"/>
                <w:bCs/>
                <w:sz w:val="23"/>
                <w:szCs w:val="23"/>
                <w:lang w:eastAsia="ro-RO"/>
              </w:rPr>
              <w:t xml:space="preserve"> - 4,65 miliarde euro.</w:t>
            </w:r>
          </w:p>
          <w:p w14:paraId="39FD9EE1" w14:textId="18B0780A" w:rsidR="004806FC" w:rsidRPr="00B650D9" w:rsidRDefault="004806FC" w:rsidP="004E2DB8">
            <w:pPr>
              <w:autoSpaceDE w:val="0"/>
              <w:autoSpaceDN w:val="0"/>
              <w:adjustRightInd w:val="0"/>
              <w:spacing w:after="120"/>
              <w:jc w:val="both"/>
              <w:rPr>
                <w:rFonts w:eastAsiaTheme="minorHAnsi"/>
                <w:bCs/>
                <w:sz w:val="23"/>
                <w:szCs w:val="23"/>
                <w:lang w:eastAsia="ro-RO"/>
              </w:rPr>
            </w:pPr>
            <w:r w:rsidRPr="00B650D9">
              <w:rPr>
                <w:rFonts w:eastAsiaTheme="minorHAnsi"/>
                <w:bCs/>
                <w:sz w:val="23"/>
                <w:szCs w:val="23"/>
                <w:lang w:eastAsia="ro-RO"/>
              </w:rPr>
              <w:t>După cum se poate observa de această dată alocarea fondurilor europene a avut la bază de această dată o abordare descentralizată, la nivel de regiune, pentru a fi mai aproape de nevoile reale și imediate de dezvoltare specifice fiecărei regiuni.</w:t>
            </w:r>
          </w:p>
          <w:p w14:paraId="72D95228" w14:textId="084FC0B2" w:rsidR="0062321F" w:rsidRPr="00B650D9" w:rsidRDefault="0062321F" w:rsidP="0062321F">
            <w:pPr>
              <w:autoSpaceDE w:val="0"/>
              <w:autoSpaceDN w:val="0"/>
              <w:adjustRightInd w:val="0"/>
              <w:spacing w:after="120"/>
              <w:jc w:val="both"/>
              <w:rPr>
                <w:rFonts w:eastAsiaTheme="minorHAnsi"/>
                <w:bCs/>
                <w:sz w:val="23"/>
                <w:szCs w:val="23"/>
                <w:lang w:eastAsia="ro-RO"/>
              </w:rPr>
            </w:pPr>
            <w:r w:rsidRPr="00B650D9">
              <w:rPr>
                <w:rFonts w:eastAsiaTheme="minorHAnsi"/>
                <w:bCs/>
                <w:sz w:val="23"/>
                <w:szCs w:val="23"/>
                <w:lang w:eastAsia="ro-RO"/>
              </w:rPr>
              <w:t>Pe baza evaluărilor și analizelor realizate</w:t>
            </w:r>
            <w:r w:rsidR="00DB145B" w:rsidRPr="00B650D9">
              <w:rPr>
                <w:rFonts w:eastAsiaTheme="minorHAnsi"/>
                <w:bCs/>
                <w:sz w:val="23"/>
                <w:szCs w:val="23"/>
                <w:lang w:eastAsia="ro-RO"/>
              </w:rPr>
              <w:t xml:space="preserve"> pentru perioada de</w:t>
            </w:r>
            <w:r w:rsidRPr="00B650D9">
              <w:rPr>
                <w:rFonts w:eastAsiaTheme="minorHAnsi"/>
                <w:bCs/>
                <w:sz w:val="23"/>
                <w:szCs w:val="23"/>
                <w:lang w:eastAsia="ro-RO"/>
              </w:rPr>
              <w:t xml:space="preserve"> programare 2014-2020, au fost identificate o serie de aspecte care au influențat negativ implementarea proiectelor/programelor și absorbția</w:t>
            </w:r>
            <w:r w:rsidR="007B35C7" w:rsidRPr="00B650D9">
              <w:rPr>
                <w:rFonts w:eastAsiaTheme="minorHAnsi"/>
                <w:bCs/>
                <w:sz w:val="23"/>
                <w:szCs w:val="23"/>
                <w:lang w:eastAsia="ro-RO"/>
              </w:rPr>
              <w:t xml:space="preserve"> </w:t>
            </w:r>
            <w:r w:rsidR="005F271D" w:rsidRPr="00B650D9">
              <w:rPr>
                <w:rFonts w:eastAsiaTheme="minorHAnsi"/>
                <w:bCs/>
                <w:sz w:val="23"/>
                <w:szCs w:val="23"/>
                <w:lang w:eastAsia="ro-RO"/>
              </w:rPr>
              <w:t>fondurilor</w:t>
            </w:r>
            <w:r w:rsidRPr="00B650D9">
              <w:rPr>
                <w:rFonts w:eastAsiaTheme="minorHAnsi"/>
                <w:bCs/>
                <w:sz w:val="23"/>
                <w:szCs w:val="23"/>
                <w:lang w:eastAsia="ro-RO"/>
              </w:rPr>
              <w:t>, dintre care pot fi menționate următoarele:</w:t>
            </w:r>
          </w:p>
          <w:p w14:paraId="1631BC99" w14:textId="370E160B" w:rsidR="0062321F" w:rsidRPr="00B650D9" w:rsidRDefault="0062321F" w:rsidP="0062321F">
            <w:pPr>
              <w:pStyle w:val="ListParagraph"/>
              <w:numPr>
                <w:ilvl w:val="0"/>
                <w:numId w:val="32"/>
              </w:numPr>
              <w:autoSpaceDE w:val="0"/>
              <w:autoSpaceDN w:val="0"/>
              <w:adjustRightInd w:val="0"/>
              <w:spacing w:after="120"/>
              <w:contextualSpacing w:val="0"/>
              <w:jc w:val="both"/>
              <w:rPr>
                <w:rFonts w:ascii="Times New Roman" w:hAnsi="Times New Roman" w:cs="Times New Roman"/>
                <w:bCs/>
                <w:sz w:val="23"/>
                <w:szCs w:val="23"/>
                <w:lang w:eastAsia="ro-RO"/>
              </w:rPr>
            </w:pPr>
            <w:r w:rsidRPr="00B650D9">
              <w:rPr>
                <w:rFonts w:ascii="Times New Roman" w:hAnsi="Times New Roman" w:cs="Times New Roman"/>
                <w:bCs/>
                <w:sz w:val="23"/>
                <w:szCs w:val="23"/>
                <w:lang w:eastAsia="ro-RO"/>
              </w:rPr>
              <w:t xml:space="preserve">Durată ridicată a </w:t>
            </w:r>
            <w:r w:rsidR="00AE2C41" w:rsidRPr="00B650D9">
              <w:rPr>
                <w:rFonts w:ascii="Times New Roman" w:hAnsi="Times New Roman" w:cs="Times New Roman"/>
                <w:bCs/>
                <w:sz w:val="23"/>
                <w:szCs w:val="23"/>
                <w:lang w:eastAsia="ro-RO"/>
              </w:rPr>
              <w:t>etapei</w:t>
            </w:r>
            <w:r w:rsidRPr="00B650D9">
              <w:rPr>
                <w:rFonts w:ascii="Times New Roman" w:hAnsi="Times New Roman" w:cs="Times New Roman"/>
                <w:bCs/>
                <w:sz w:val="23"/>
                <w:szCs w:val="23"/>
                <w:lang w:eastAsia="ro-RO"/>
              </w:rPr>
              <w:t xml:space="preserve"> de evaluare și selecție (care depășește 6 luni) cauzată de numărul ridicat de documente solicitat</w:t>
            </w:r>
            <w:r w:rsidR="00AE2C41" w:rsidRPr="00B650D9">
              <w:rPr>
                <w:rFonts w:ascii="Times New Roman" w:hAnsi="Times New Roman" w:cs="Times New Roman"/>
                <w:bCs/>
                <w:sz w:val="23"/>
                <w:szCs w:val="23"/>
                <w:lang w:eastAsia="ro-RO"/>
              </w:rPr>
              <w:t>e</w:t>
            </w:r>
            <w:r w:rsidRPr="00B650D9">
              <w:rPr>
                <w:rFonts w:ascii="Times New Roman" w:hAnsi="Times New Roman" w:cs="Times New Roman"/>
                <w:bCs/>
                <w:sz w:val="23"/>
                <w:szCs w:val="23"/>
                <w:lang w:eastAsia="ro-RO"/>
              </w:rPr>
              <w:t xml:space="preserve"> și dublarea unor verificări în etape diferite ale acestui proces, respectiv verificări și evaluări diferite ale acelorași documente în mai multe etape ale procesului de evaluare și selecție și, după caz,  reverificarea unor</w:t>
            </w:r>
            <w:r w:rsidR="000303AD" w:rsidRPr="00B650D9">
              <w:rPr>
                <w:rFonts w:ascii="Times New Roman" w:hAnsi="Times New Roman" w:cs="Times New Roman"/>
                <w:bCs/>
                <w:sz w:val="23"/>
                <w:szCs w:val="23"/>
                <w:lang w:eastAsia="ro-RO"/>
              </w:rPr>
              <w:t>a</w:t>
            </w:r>
            <w:r w:rsidRPr="00B650D9">
              <w:rPr>
                <w:rFonts w:ascii="Times New Roman" w:hAnsi="Times New Roman" w:cs="Times New Roman"/>
                <w:bCs/>
                <w:sz w:val="23"/>
                <w:szCs w:val="23"/>
                <w:lang w:eastAsia="ro-RO"/>
              </w:rPr>
              <w:t xml:space="preserve"> dintre acestea în etapa de precontractare sau contractare;</w:t>
            </w:r>
          </w:p>
          <w:p w14:paraId="0D1CFAFF" w14:textId="1D7090C2" w:rsidR="0062321F" w:rsidRPr="00B650D9" w:rsidRDefault="0062321F" w:rsidP="0062321F">
            <w:pPr>
              <w:pStyle w:val="ListParagraph"/>
              <w:numPr>
                <w:ilvl w:val="0"/>
                <w:numId w:val="32"/>
              </w:numPr>
              <w:autoSpaceDE w:val="0"/>
              <w:autoSpaceDN w:val="0"/>
              <w:adjustRightInd w:val="0"/>
              <w:spacing w:after="120"/>
              <w:contextualSpacing w:val="0"/>
              <w:jc w:val="both"/>
              <w:rPr>
                <w:rFonts w:ascii="Times New Roman" w:hAnsi="Times New Roman" w:cs="Times New Roman"/>
                <w:bCs/>
                <w:sz w:val="23"/>
                <w:szCs w:val="23"/>
                <w:lang w:eastAsia="ro-RO"/>
              </w:rPr>
            </w:pPr>
            <w:r w:rsidRPr="00B650D9">
              <w:rPr>
                <w:rFonts w:ascii="Times New Roman" w:hAnsi="Times New Roman" w:cs="Times New Roman"/>
                <w:bCs/>
                <w:sz w:val="23"/>
                <w:szCs w:val="23"/>
                <w:lang w:eastAsia="ro-RO"/>
              </w:rPr>
              <w:t xml:space="preserve">Povară administrativă ridicată pentru beneficiari și </w:t>
            </w:r>
            <w:r w:rsidR="000303AD" w:rsidRPr="00B650D9">
              <w:rPr>
                <w:rFonts w:ascii="Times New Roman" w:hAnsi="Times New Roman" w:cs="Times New Roman"/>
                <w:bCs/>
                <w:sz w:val="23"/>
                <w:szCs w:val="23"/>
                <w:lang w:eastAsia="ro-RO"/>
              </w:rPr>
              <w:t>autoritățile</w:t>
            </w:r>
            <w:r w:rsidRPr="00B650D9">
              <w:rPr>
                <w:rFonts w:ascii="Times New Roman" w:hAnsi="Times New Roman" w:cs="Times New Roman"/>
                <w:bCs/>
                <w:sz w:val="23"/>
                <w:szCs w:val="23"/>
                <w:lang w:eastAsia="ro-RO"/>
              </w:rPr>
              <w:t xml:space="preserve"> de management/organismele intermediare prin solicitarea și verificarea unui număr ridicat de documente în etapele de evaluare și selecție, implementare, monitorizare, raportare și management financiar în detrimentul calității verificărilor de management;</w:t>
            </w:r>
          </w:p>
          <w:p w14:paraId="2BD5D211" w14:textId="7732AB63" w:rsidR="0062321F" w:rsidRPr="00B650D9" w:rsidRDefault="0062321F" w:rsidP="0062321F">
            <w:pPr>
              <w:pStyle w:val="ListParagraph"/>
              <w:numPr>
                <w:ilvl w:val="0"/>
                <w:numId w:val="32"/>
              </w:numPr>
              <w:autoSpaceDE w:val="0"/>
              <w:autoSpaceDN w:val="0"/>
              <w:adjustRightInd w:val="0"/>
              <w:spacing w:after="120"/>
              <w:contextualSpacing w:val="0"/>
              <w:jc w:val="both"/>
              <w:rPr>
                <w:rFonts w:ascii="Times New Roman" w:hAnsi="Times New Roman" w:cs="Times New Roman"/>
                <w:bCs/>
                <w:sz w:val="23"/>
                <w:szCs w:val="23"/>
                <w:lang w:eastAsia="ro-RO"/>
              </w:rPr>
            </w:pPr>
            <w:r w:rsidRPr="00B650D9">
              <w:rPr>
                <w:rFonts w:ascii="Times New Roman" w:hAnsi="Times New Roman" w:cs="Times New Roman"/>
                <w:bCs/>
                <w:sz w:val="23"/>
                <w:szCs w:val="23"/>
                <w:lang w:eastAsia="ro-RO"/>
              </w:rPr>
              <w:t>Absența unui cadru legal care să reglementeze unitar managementul ciclului de viață al programelor, respectiv principii și reguli comune pen</w:t>
            </w:r>
            <w:r w:rsidR="000303AD" w:rsidRPr="00B650D9">
              <w:rPr>
                <w:rFonts w:ascii="Times New Roman" w:hAnsi="Times New Roman" w:cs="Times New Roman"/>
                <w:bCs/>
                <w:sz w:val="23"/>
                <w:szCs w:val="23"/>
                <w:lang w:eastAsia="ro-RO"/>
              </w:rPr>
              <w:t>t</w:t>
            </w:r>
            <w:r w:rsidRPr="00B650D9">
              <w:rPr>
                <w:rFonts w:ascii="Times New Roman" w:hAnsi="Times New Roman" w:cs="Times New Roman"/>
                <w:bCs/>
                <w:sz w:val="23"/>
                <w:szCs w:val="23"/>
                <w:lang w:eastAsia="ro-RO"/>
              </w:rPr>
              <w:t>ru evaluare și selecție, contractare, implementare, monitorizare, raportare, management financiar, a condus la abordări diferite la nivelul autorităților de management bazate pe emiterea unui număr ridicat de instrucțiuni și clarificări, cu efecte negative:</w:t>
            </w:r>
          </w:p>
          <w:p w14:paraId="44E8B051" w14:textId="311FE593" w:rsidR="0062321F" w:rsidRPr="00B650D9" w:rsidRDefault="0062321F" w:rsidP="0062321F">
            <w:pPr>
              <w:pStyle w:val="ListParagraph"/>
              <w:numPr>
                <w:ilvl w:val="0"/>
                <w:numId w:val="32"/>
              </w:numPr>
              <w:autoSpaceDE w:val="0"/>
              <w:autoSpaceDN w:val="0"/>
              <w:adjustRightInd w:val="0"/>
              <w:spacing w:after="120"/>
              <w:ind w:left="1169" w:firstLine="0"/>
              <w:contextualSpacing w:val="0"/>
              <w:jc w:val="both"/>
              <w:rPr>
                <w:rFonts w:ascii="Times New Roman" w:hAnsi="Times New Roman" w:cs="Times New Roman"/>
                <w:bCs/>
                <w:sz w:val="23"/>
                <w:szCs w:val="23"/>
                <w:lang w:eastAsia="ro-RO"/>
              </w:rPr>
            </w:pPr>
            <w:r w:rsidRPr="00B650D9">
              <w:rPr>
                <w:rFonts w:ascii="Times New Roman" w:hAnsi="Times New Roman" w:cs="Times New Roman"/>
                <w:bCs/>
                <w:sz w:val="23"/>
                <w:szCs w:val="23"/>
                <w:lang w:eastAsia="ro-RO"/>
              </w:rPr>
              <w:t xml:space="preserve"> povară administrativă ridicată la nivelul beneficiarilor, în special </w:t>
            </w:r>
            <w:r w:rsidR="000303AD" w:rsidRPr="00B650D9">
              <w:rPr>
                <w:rFonts w:ascii="Times New Roman" w:hAnsi="Times New Roman" w:cs="Times New Roman"/>
                <w:bCs/>
                <w:sz w:val="23"/>
                <w:szCs w:val="23"/>
                <w:lang w:eastAsia="ro-RO"/>
              </w:rPr>
              <w:t xml:space="preserve">la nivelul </w:t>
            </w:r>
            <w:r w:rsidRPr="00B650D9">
              <w:rPr>
                <w:rFonts w:ascii="Times New Roman" w:hAnsi="Times New Roman" w:cs="Times New Roman"/>
                <w:bCs/>
                <w:sz w:val="23"/>
                <w:szCs w:val="23"/>
                <w:lang w:eastAsia="ro-RO"/>
              </w:rPr>
              <w:t>ce</w:t>
            </w:r>
            <w:r w:rsidR="000303AD" w:rsidRPr="00B650D9">
              <w:rPr>
                <w:rFonts w:ascii="Times New Roman" w:hAnsi="Times New Roman" w:cs="Times New Roman"/>
                <w:bCs/>
                <w:sz w:val="23"/>
                <w:szCs w:val="23"/>
                <w:lang w:eastAsia="ro-RO"/>
              </w:rPr>
              <w:t>lor</w:t>
            </w:r>
            <w:r w:rsidRPr="00B650D9">
              <w:rPr>
                <w:rFonts w:ascii="Times New Roman" w:hAnsi="Times New Roman" w:cs="Times New Roman"/>
                <w:bCs/>
                <w:sz w:val="23"/>
                <w:szCs w:val="23"/>
                <w:lang w:eastAsia="ro-RO"/>
              </w:rPr>
              <w:t xml:space="preserve"> care au implementat proiecte în cadrul mai multor programe operaționale</w:t>
            </w:r>
            <w:r w:rsidR="00506056" w:rsidRPr="00B650D9">
              <w:rPr>
                <w:rFonts w:ascii="Times New Roman" w:hAnsi="Times New Roman" w:cs="Times New Roman"/>
                <w:bCs/>
                <w:sz w:val="23"/>
                <w:szCs w:val="23"/>
                <w:lang w:eastAsia="ro-RO"/>
              </w:rPr>
              <w:t>;</w:t>
            </w:r>
          </w:p>
          <w:p w14:paraId="2DC0DA9C" w14:textId="43FAF014" w:rsidR="0062321F" w:rsidRPr="00B650D9" w:rsidRDefault="0062321F" w:rsidP="0062321F">
            <w:pPr>
              <w:pStyle w:val="ListParagraph"/>
              <w:numPr>
                <w:ilvl w:val="0"/>
                <w:numId w:val="32"/>
              </w:numPr>
              <w:autoSpaceDE w:val="0"/>
              <w:autoSpaceDN w:val="0"/>
              <w:adjustRightInd w:val="0"/>
              <w:spacing w:after="120"/>
              <w:ind w:left="1169" w:firstLine="0"/>
              <w:contextualSpacing w:val="0"/>
              <w:jc w:val="both"/>
              <w:rPr>
                <w:rFonts w:ascii="Times New Roman" w:hAnsi="Times New Roman" w:cs="Times New Roman"/>
                <w:bCs/>
                <w:sz w:val="23"/>
                <w:szCs w:val="23"/>
                <w:lang w:eastAsia="ro-RO"/>
              </w:rPr>
            </w:pPr>
            <w:r w:rsidRPr="00B650D9">
              <w:rPr>
                <w:rFonts w:ascii="Times New Roman" w:hAnsi="Times New Roman" w:cs="Times New Roman"/>
                <w:bCs/>
                <w:sz w:val="23"/>
                <w:szCs w:val="23"/>
                <w:lang w:eastAsia="ro-RO"/>
              </w:rPr>
              <w:t xml:space="preserve">risc ridicat de încălcare a principiilor egalității de </w:t>
            </w:r>
            <w:r w:rsidR="00506056" w:rsidRPr="00B650D9">
              <w:rPr>
                <w:rFonts w:ascii="Times New Roman" w:hAnsi="Times New Roman" w:cs="Times New Roman"/>
                <w:bCs/>
                <w:sz w:val="23"/>
                <w:szCs w:val="23"/>
                <w:lang w:eastAsia="ro-RO"/>
              </w:rPr>
              <w:t>tratament</w:t>
            </w:r>
            <w:r w:rsidRPr="00B650D9">
              <w:rPr>
                <w:rFonts w:ascii="Times New Roman" w:hAnsi="Times New Roman" w:cs="Times New Roman"/>
                <w:bCs/>
                <w:sz w:val="23"/>
                <w:szCs w:val="23"/>
                <w:lang w:eastAsia="ro-RO"/>
              </w:rPr>
              <w:t xml:space="preserve"> și </w:t>
            </w:r>
            <w:r w:rsidR="00506056" w:rsidRPr="00B650D9">
              <w:rPr>
                <w:rFonts w:ascii="Times New Roman" w:hAnsi="Times New Roman" w:cs="Times New Roman"/>
                <w:bCs/>
                <w:sz w:val="23"/>
                <w:szCs w:val="23"/>
                <w:lang w:eastAsia="ro-RO"/>
              </w:rPr>
              <w:t>nediscriminării</w:t>
            </w:r>
            <w:r w:rsidRPr="00B650D9">
              <w:rPr>
                <w:rFonts w:ascii="Times New Roman" w:hAnsi="Times New Roman" w:cs="Times New Roman"/>
                <w:bCs/>
                <w:sz w:val="23"/>
                <w:szCs w:val="23"/>
                <w:lang w:eastAsia="ro-RO"/>
              </w:rPr>
              <w:t>,  în special cei care au accesat fonduri și au implementat proiecte în cadrul mai multor programe operaționale</w:t>
            </w:r>
            <w:r w:rsidR="00506056" w:rsidRPr="00B650D9">
              <w:rPr>
                <w:rFonts w:ascii="Times New Roman" w:hAnsi="Times New Roman" w:cs="Times New Roman"/>
                <w:bCs/>
                <w:sz w:val="23"/>
                <w:szCs w:val="23"/>
                <w:lang w:eastAsia="ro-RO"/>
              </w:rPr>
              <w:t>;</w:t>
            </w:r>
            <w:r w:rsidRPr="00B650D9">
              <w:rPr>
                <w:rFonts w:ascii="Times New Roman" w:hAnsi="Times New Roman" w:cs="Times New Roman"/>
                <w:bCs/>
                <w:sz w:val="23"/>
                <w:szCs w:val="23"/>
                <w:lang w:eastAsia="ro-RO"/>
              </w:rPr>
              <w:t xml:space="preserve"> </w:t>
            </w:r>
          </w:p>
          <w:p w14:paraId="7AFCDCC9" w14:textId="5FB81613" w:rsidR="00254620" w:rsidRPr="00B650D9" w:rsidRDefault="00254620" w:rsidP="00254620">
            <w:pPr>
              <w:pStyle w:val="ListParagraph"/>
              <w:numPr>
                <w:ilvl w:val="0"/>
                <w:numId w:val="32"/>
              </w:numPr>
              <w:autoSpaceDE w:val="0"/>
              <w:autoSpaceDN w:val="0"/>
              <w:adjustRightInd w:val="0"/>
              <w:spacing w:after="120"/>
              <w:contextualSpacing w:val="0"/>
              <w:jc w:val="both"/>
              <w:rPr>
                <w:rFonts w:ascii="Times New Roman" w:hAnsi="Times New Roman" w:cs="Times New Roman"/>
                <w:bCs/>
                <w:sz w:val="23"/>
                <w:szCs w:val="23"/>
                <w:lang w:eastAsia="ro-RO"/>
              </w:rPr>
            </w:pPr>
            <w:r w:rsidRPr="00B650D9">
              <w:rPr>
                <w:rFonts w:ascii="Times New Roman" w:hAnsi="Times New Roman" w:cs="Times New Roman"/>
                <w:bCs/>
                <w:sz w:val="23"/>
                <w:szCs w:val="23"/>
                <w:lang w:eastAsia="ro-RO"/>
              </w:rPr>
              <w:t>Valorificarea insuficientă a funcționalităților sistemelor informatice și a opțiunilor de interoperabilitate.</w:t>
            </w:r>
          </w:p>
          <w:p w14:paraId="0E818137" w14:textId="5BF41025" w:rsidR="0062321F" w:rsidRPr="00B650D9" w:rsidRDefault="0062321F" w:rsidP="0062321F">
            <w:pPr>
              <w:autoSpaceDE w:val="0"/>
              <w:autoSpaceDN w:val="0"/>
              <w:adjustRightInd w:val="0"/>
              <w:spacing w:after="120"/>
              <w:jc w:val="both"/>
              <w:rPr>
                <w:bCs/>
                <w:sz w:val="23"/>
                <w:szCs w:val="23"/>
                <w:lang w:eastAsia="ro-RO"/>
              </w:rPr>
            </w:pPr>
            <w:r w:rsidRPr="00B650D9">
              <w:rPr>
                <w:bCs/>
                <w:sz w:val="23"/>
                <w:szCs w:val="23"/>
                <w:lang w:eastAsia="ro-RO"/>
              </w:rPr>
              <w:t>Arhitectura instituțională</w:t>
            </w:r>
            <w:r w:rsidR="00506056" w:rsidRPr="00B650D9">
              <w:rPr>
                <w:bCs/>
                <w:sz w:val="23"/>
                <w:szCs w:val="23"/>
                <w:lang w:eastAsia="ro-RO"/>
              </w:rPr>
              <w:t xml:space="preserve"> aferentă cadrului financiar</w:t>
            </w:r>
            <w:r w:rsidRPr="00B650D9">
              <w:rPr>
                <w:bCs/>
                <w:sz w:val="23"/>
                <w:szCs w:val="23"/>
                <w:lang w:eastAsia="ro-RO"/>
              </w:rPr>
              <w:t xml:space="preserve"> 2021-2027 cuprinde un număr dublu de programe și introduce în sistemul de management și control, atât autorități </w:t>
            </w:r>
            <w:r w:rsidR="006A1DBA" w:rsidRPr="00B650D9">
              <w:rPr>
                <w:bCs/>
                <w:sz w:val="23"/>
                <w:szCs w:val="23"/>
                <w:lang w:eastAsia="ro-RO"/>
              </w:rPr>
              <w:t xml:space="preserve">din </w:t>
            </w:r>
            <w:r w:rsidRPr="00B650D9">
              <w:rPr>
                <w:bCs/>
                <w:sz w:val="23"/>
                <w:szCs w:val="23"/>
                <w:lang w:eastAsia="ro-RO"/>
              </w:rPr>
              <w:t xml:space="preserve">cadrul </w:t>
            </w:r>
            <w:r w:rsidR="00506056" w:rsidRPr="00B650D9">
              <w:rPr>
                <w:bCs/>
                <w:sz w:val="23"/>
                <w:szCs w:val="23"/>
                <w:lang w:eastAsia="ro-RO"/>
              </w:rPr>
              <w:t>administrației</w:t>
            </w:r>
            <w:r w:rsidRPr="00B650D9">
              <w:rPr>
                <w:bCs/>
                <w:sz w:val="23"/>
                <w:szCs w:val="23"/>
                <w:lang w:eastAsia="ro-RO"/>
              </w:rPr>
              <w:t xml:space="preserve"> publice centrale, precum și, urmare a procesului de descentralizare, autorități de management instituite în cadrul agențiilor de dezvoltare regională</w:t>
            </w:r>
            <w:r w:rsidR="00DB145B" w:rsidRPr="00B650D9">
              <w:rPr>
                <w:bCs/>
                <w:sz w:val="23"/>
                <w:szCs w:val="23"/>
                <w:lang w:eastAsia="ro-RO"/>
              </w:rPr>
              <w:t xml:space="preserve"> care gestionează programele regionale</w:t>
            </w:r>
            <w:r w:rsidR="00415EFE" w:rsidRPr="00B650D9">
              <w:rPr>
                <w:bCs/>
                <w:sz w:val="23"/>
                <w:szCs w:val="23"/>
                <w:lang w:eastAsia="ro-RO"/>
              </w:rPr>
              <w:t>.</w:t>
            </w:r>
          </w:p>
          <w:p w14:paraId="075E9DD7" w14:textId="77777777" w:rsidR="00254620" w:rsidRPr="00B650D9" w:rsidRDefault="00254620" w:rsidP="00254620">
            <w:pPr>
              <w:autoSpaceDE w:val="0"/>
              <w:autoSpaceDN w:val="0"/>
              <w:adjustRightInd w:val="0"/>
              <w:spacing w:after="120"/>
              <w:jc w:val="both"/>
              <w:rPr>
                <w:rFonts w:eastAsiaTheme="minorHAnsi"/>
                <w:bCs/>
                <w:sz w:val="23"/>
                <w:szCs w:val="23"/>
                <w:lang w:eastAsia="ro-RO"/>
              </w:rPr>
            </w:pPr>
            <w:r w:rsidRPr="00B650D9">
              <w:rPr>
                <w:rFonts w:eastAsiaTheme="minorHAnsi"/>
                <w:bCs/>
                <w:sz w:val="23"/>
                <w:szCs w:val="23"/>
                <w:lang w:eastAsia="ro-RO"/>
              </w:rPr>
              <w:t xml:space="preserve">Această abordare a generat și nevoia identificării unei abordări unitare în punctele cheie a sistemelor de management și control, astfel încât beneficiarii de fonduri europene să poată să depună proiectele într-un cadrul </w:t>
            </w:r>
            <w:r w:rsidRPr="00B650D9">
              <w:rPr>
                <w:rFonts w:eastAsiaTheme="minorHAnsi"/>
                <w:bCs/>
                <w:sz w:val="23"/>
                <w:szCs w:val="23"/>
                <w:lang w:eastAsia="ro-RO"/>
              </w:rPr>
              <w:lastRenderedPageBreak/>
              <w:t>procedural predictibil și considerabil simplificat care implică, printre altele, o abordare unitară în ceea ce privește accesarea și implementarea acestor resurse, într-un mediul digitalizat.</w:t>
            </w:r>
          </w:p>
          <w:p w14:paraId="44F9CD82" w14:textId="0E3E9C3C" w:rsidR="0062321F" w:rsidRPr="00B650D9" w:rsidRDefault="0062321F" w:rsidP="004E2DB8">
            <w:pPr>
              <w:autoSpaceDE w:val="0"/>
              <w:autoSpaceDN w:val="0"/>
              <w:adjustRightInd w:val="0"/>
              <w:spacing w:after="120"/>
              <w:jc w:val="both"/>
              <w:rPr>
                <w:rFonts w:eastAsiaTheme="minorHAnsi"/>
                <w:bCs/>
                <w:sz w:val="23"/>
                <w:szCs w:val="23"/>
                <w:lang w:eastAsia="ro-RO"/>
              </w:rPr>
            </w:pPr>
            <w:r w:rsidRPr="00B650D9">
              <w:rPr>
                <w:bCs/>
                <w:sz w:val="23"/>
                <w:szCs w:val="23"/>
                <w:lang w:eastAsia="ro-RO"/>
              </w:rPr>
              <w:t xml:space="preserve">În absența unui cadru unitar de reglementare, menținerea unor abordări diferite ale autorităților de management </w:t>
            </w:r>
            <w:r w:rsidR="00254620" w:rsidRPr="00B650D9">
              <w:rPr>
                <w:bCs/>
                <w:sz w:val="23"/>
                <w:szCs w:val="23"/>
                <w:lang w:eastAsia="ro-RO"/>
              </w:rPr>
              <w:t xml:space="preserve">poate </w:t>
            </w:r>
            <w:r w:rsidRPr="00B650D9">
              <w:rPr>
                <w:bCs/>
                <w:sz w:val="23"/>
                <w:szCs w:val="23"/>
                <w:lang w:eastAsia="ro-RO"/>
              </w:rPr>
              <w:t xml:space="preserve">să afecteze </w:t>
            </w:r>
            <w:r w:rsidR="00254620" w:rsidRPr="00B650D9">
              <w:rPr>
                <w:bCs/>
                <w:sz w:val="23"/>
                <w:szCs w:val="23"/>
                <w:lang w:eastAsia="ro-RO"/>
              </w:rPr>
              <w:t xml:space="preserve">semnificativ </w:t>
            </w:r>
            <w:r w:rsidR="001E6C8C" w:rsidRPr="00B650D9">
              <w:rPr>
                <w:bCs/>
                <w:sz w:val="23"/>
                <w:szCs w:val="23"/>
                <w:lang w:eastAsia="ro-RO"/>
              </w:rPr>
              <w:t xml:space="preserve">securitatea juridică, </w:t>
            </w:r>
            <w:r w:rsidRPr="00B650D9">
              <w:rPr>
                <w:bCs/>
                <w:sz w:val="23"/>
                <w:szCs w:val="23"/>
                <w:lang w:eastAsia="ro-RO"/>
              </w:rPr>
              <w:t>claritatea, coerența și consistența diverselor reglementări/reguli și proceduri</w:t>
            </w:r>
            <w:r w:rsidR="001E6C8C" w:rsidRPr="00B650D9">
              <w:rPr>
                <w:bCs/>
                <w:sz w:val="23"/>
                <w:szCs w:val="23"/>
                <w:lang w:eastAsia="ro-RO"/>
              </w:rPr>
              <w:t xml:space="preserve"> la nivel de sistem. </w:t>
            </w:r>
          </w:p>
          <w:p w14:paraId="0C2CBC83" w14:textId="21C5CA1A" w:rsidR="004806FC" w:rsidRPr="00B650D9" w:rsidRDefault="004806FC" w:rsidP="004E2DB8">
            <w:pPr>
              <w:autoSpaceDE w:val="0"/>
              <w:autoSpaceDN w:val="0"/>
              <w:adjustRightInd w:val="0"/>
              <w:spacing w:after="120"/>
              <w:jc w:val="both"/>
              <w:rPr>
                <w:rFonts w:eastAsiaTheme="minorHAnsi"/>
                <w:bCs/>
                <w:sz w:val="23"/>
                <w:szCs w:val="23"/>
                <w:lang w:eastAsia="ro-RO"/>
              </w:rPr>
            </w:pPr>
            <w:r w:rsidRPr="00B650D9">
              <w:rPr>
                <w:rFonts w:eastAsiaTheme="minorHAnsi"/>
                <w:bCs/>
                <w:sz w:val="23"/>
                <w:szCs w:val="23"/>
                <w:lang w:eastAsia="ro-RO"/>
              </w:rPr>
              <w:t>Nevoia de simplificare și de abordare unitară trebuie transpusă cu respectarea prevederilor europene în materie</w:t>
            </w:r>
            <w:r w:rsidR="001110D7" w:rsidRPr="00B650D9">
              <w:rPr>
                <w:rFonts w:eastAsiaTheme="minorHAnsi"/>
                <w:bCs/>
                <w:sz w:val="23"/>
                <w:szCs w:val="23"/>
                <w:lang w:eastAsia="ro-RO"/>
              </w:rPr>
              <w:t xml:space="preserve"> și integrarea </w:t>
            </w:r>
            <w:r w:rsidRPr="00B650D9">
              <w:rPr>
                <w:rFonts w:eastAsiaTheme="minorHAnsi"/>
                <w:bCs/>
                <w:sz w:val="23"/>
                <w:szCs w:val="23"/>
                <w:lang w:eastAsia="ro-RO"/>
              </w:rPr>
              <w:t>lecțiil</w:t>
            </w:r>
            <w:r w:rsidR="001110D7" w:rsidRPr="00B650D9">
              <w:rPr>
                <w:rFonts w:eastAsiaTheme="minorHAnsi"/>
                <w:bCs/>
                <w:sz w:val="23"/>
                <w:szCs w:val="23"/>
                <w:lang w:eastAsia="ro-RO"/>
              </w:rPr>
              <w:t>or</w:t>
            </w:r>
            <w:r w:rsidRPr="00B650D9">
              <w:rPr>
                <w:rFonts w:eastAsiaTheme="minorHAnsi"/>
                <w:bCs/>
                <w:sz w:val="23"/>
                <w:szCs w:val="23"/>
                <w:lang w:eastAsia="ro-RO"/>
              </w:rPr>
              <w:t xml:space="preserve"> învățate pe parcursul celor două perioade de programare anterioare.</w:t>
            </w:r>
          </w:p>
          <w:p w14:paraId="1BFDBF09" w14:textId="77777777" w:rsidR="004E2DB8" w:rsidRPr="00B650D9" w:rsidRDefault="004E2DB8" w:rsidP="004E2DB8">
            <w:pPr>
              <w:spacing w:after="120"/>
              <w:jc w:val="both"/>
              <w:rPr>
                <w:sz w:val="23"/>
                <w:szCs w:val="23"/>
              </w:rPr>
            </w:pPr>
            <w:r w:rsidRPr="00B650D9">
              <w:rPr>
                <w:sz w:val="23"/>
                <w:szCs w:val="23"/>
              </w:rPr>
              <w:t>Sistemul de Management și Control al programelor trebuie să fie construit astfel încât să fie operaționale o serie de măsuri privind transparentizarea și accesul facil al beneficiarilor la fondurile externe nerambursabile pentru a asigura implementarea proiectelor până la data de 31.12.2029 și concomitent pentru a asigura un nivel cât mai ridicat al gradului de absorbție al fondurilor externe nerambursabile alocate României prin politica de coeziune. Construcția Sistemul de Management și Control al programelor trebuie să aibă în vedere, în mod obligatoriu</w:t>
            </w:r>
            <w:r w:rsidRPr="00B650D9">
              <w:rPr>
                <w:sz w:val="23"/>
                <w:szCs w:val="23"/>
                <w:highlight w:val="lightGray"/>
              </w:rPr>
              <w:t>,</w:t>
            </w:r>
            <w:r w:rsidRPr="00B650D9">
              <w:rPr>
                <w:sz w:val="23"/>
                <w:szCs w:val="23"/>
              </w:rPr>
              <w:t xml:space="preserve"> dispozițiile Regulamentului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41A770A" w14:textId="67D256D1" w:rsidR="004E2DB8" w:rsidRPr="00B650D9" w:rsidRDefault="004E2DB8" w:rsidP="004E2DB8">
            <w:pPr>
              <w:spacing w:after="120"/>
              <w:jc w:val="both"/>
              <w:rPr>
                <w:sz w:val="23"/>
                <w:szCs w:val="23"/>
              </w:rPr>
            </w:pPr>
            <w:r w:rsidRPr="00B650D9">
              <w:rPr>
                <w:sz w:val="23"/>
                <w:szCs w:val="23"/>
              </w:rPr>
              <w:t>În această perioadă se finalizează dezvoltarea sistemului informatic MySMIS2021/SMIS2021+ care stă la baza gestionării fondurilor externe nerambursabile și, în aceste condiții, sistemul informatic  trebuie să fie construit în conformitate cu regulile de transparentizare și acces facil la fonduri. Aceste reguli trebuie, de asemenea, preluate în ghidurile solicitantului și ghidurile beneficiarilor aplicabile perioadei de programare 2021-2027.</w:t>
            </w:r>
          </w:p>
          <w:p w14:paraId="41A091F3" w14:textId="48B7EB6E" w:rsidR="00500692" w:rsidRPr="00B650D9" w:rsidRDefault="00500692" w:rsidP="00500692">
            <w:pPr>
              <w:spacing w:after="120"/>
              <w:jc w:val="both"/>
              <w:rPr>
                <w:sz w:val="23"/>
                <w:szCs w:val="23"/>
              </w:rPr>
            </w:pPr>
            <w:r w:rsidRPr="00B650D9">
              <w:rPr>
                <w:sz w:val="23"/>
                <w:szCs w:val="23"/>
              </w:rPr>
              <w:t xml:space="preserve">Având în vedere că prin Politica de Coeziune pentru perioada de programare 2021-2027 sunt alocate României importante resurse financiare sub formă de fonduri externe nerambursabile în valoare de aprox. 30,98 mld euro și aproximativ 15,46 mld euro sub formă de cofinanțare, iar pentru aceste fonduri a fost aprobat prin decizie a Comisiei Europene la data de 27 iulie 2022 </w:t>
            </w:r>
            <w:r w:rsidR="007D548D" w:rsidRPr="00B650D9">
              <w:rPr>
                <w:sz w:val="23"/>
                <w:szCs w:val="23"/>
              </w:rPr>
              <w:t>A</w:t>
            </w:r>
            <w:r w:rsidRPr="00B650D9">
              <w:rPr>
                <w:sz w:val="23"/>
                <w:szCs w:val="23"/>
              </w:rPr>
              <w:t>cordul de parteneriat prin care se asigură cadrul strategic necesar pentru accesarea acestor fonduri în diferite domenii de investiții de importanță strategică pentru România;</w:t>
            </w:r>
          </w:p>
          <w:p w14:paraId="480BF0D1" w14:textId="45004961" w:rsidR="00500692" w:rsidRPr="00B650D9" w:rsidRDefault="00500692" w:rsidP="00500692">
            <w:pPr>
              <w:spacing w:after="120"/>
              <w:jc w:val="both"/>
              <w:rPr>
                <w:sz w:val="23"/>
                <w:szCs w:val="23"/>
              </w:rPr>
            </w:pPr>
            <w:r w:rsidRPr="00B650D9">
              <w:rPr>
                <w:sz w:val="23"/>
                <w:szCs w:val="23"/>
              </w:rPr>
              <w:t>Deoarece programele aprobate prevăd alocări financiare aferente unor investiții de importanță strategică pentru România, iar pentru aceasta procedurile de accesare a fondurilor trebuie să fie adaptate la nevoile reale ale beneficiarilor astfel încât să fie asigurat accesul facil și flexibil al acestora la fondurile externe nerambursabile;</w:t>
            </w:r>
          </w:p>
          <w:p w14:paraId="0D225E17" w14:textId="77777777" w:rsidR="00500692" w:rsidRPr="00B650D9" w:rsidRDefault="00500692" w:rsidP="00500692">
            <w:pPr>
              <w:spacing w:after="120"/>
              <w:jc w:val="both"/>
              <w:rPr>
                <w:sz w:val="23"/>
                <w:szCs w:val="23"/>
              </w:rPr>
            </w:pPr>
            <w:r w:rsidRPr="00B650D9">
              <w:rPr>
                <w:sz w:val="23"/>
                <w:szCs w:val="23"/>
              </w:rPr>
              <w:t>Întrucât la data prezentei Ordonanțe toate programele subsecvente Acordului de parteneriat au fost aprobate prin decizie a Comisiei Europene, iar autoritățile de management urmează să definitiveze sistemele de management și control ale programelor și să lanseze apelurile de proiecte;</w:t>
            </w:r>
          </w:p>
          <w:p w14:paraId="7A805BDD" w14:textId="77777777" w:rsidR="00500692" w:rsidRPr="00B650D9" w:rsidRDefault="00500692" w:rsidP="00500692">
            <w:pPr>
              <w:spacing w:after="120"/>
              <w:jc w:val="both"/>
              <w:rPr>
                <w:sz w:val="23"/>
                <w:szCs w:val="23"/>
              </w:rPr>
            </w:pPr>
            <w:r w:rsidRPr="00B650D9">
              <w:rPr>
                <w:sz w:val="23"/>
                <w:szCs w:val="23"/>
              </w:rPr>
              <w:t>Ținând cont de faptul că Sistemul de Management și Control, denumit în continuare SMC, al programelor trebuie să fie construit astfel încât să fie operaționale o serie de măsuri privind transparentizarea și accesul facil al beneficiarilor la fondurile externe nerambursabile pentru a asigura implementarea proiectelor până la data de 31.12.2029 și concomitent pentru a asigura un nivel cât mai ridicat al gradului de absorbție al fondurilor externe nerambursabile alocate României prin politica de coeziune;</w:t>
            </w:r>
          </w:p>
          <w:p w14:paraId="29512060" w14:textId="77777777" w:rsidR="00500692" w:rsidRPr="00B650D9" w:rsidRDefault="00500692" w:rsidP="00500692">
            <w:pPr>
              <w:spacing w:after="120"/>
              <w:jc w:val="both"/>
              <w:rPr>
                <w:sz w:val="23"/>
                <w:szCs w:val="23"/>
              </w:rPr>
            </w:pPr>
            <w:r w:rsidRPr="00B650D9">
              <w:rPr>
                <w:sz w:val="23"/>
                <w:szCs w:val="23"/>
              </w:rPr>
              <w:t>Deoarece în această perioadă se finalizează dezvoltarea sistemului informatic MySMIS2021/SMIS2021+ care stă la baza gestionării fondurilor externe nerambursabile și în aceste condiții trebuie să fie construit în conformitate cu regulile de transparentizare și acces facil la fonduri și care trebuie preluate în Ghidul  Solicitantului și Manualul Beneficiarului aplicabile perioadei de programare 2021-2027;</w:t>
            </w:r>
          </w:p>
          <w:p w14:paraId="2853DCB7" w14:textId="77777777" w:rsidR="00500692" w:rsidRPr="00B650D9" w:rsidRDefault="00500692" w:rsidP="00500692">
            <w:pPr>
              <w:spacing w:after="120"/>
              <w:jc w:val="both"/>
              <w:rPr>
                <w:sz w:val="23"/>
                <w:szCs w:val="23"/>
              </w:rPr>
            </w:pPr>
            <w:r w:rsidRPr="00B650D9">
              <w:rPr>
                <w:sz w:val="23"/>
                <w:szCs w:val="23"/>
              </w:rPr>
              <w:lastRenderedPageBreak/>
              <w:t>Întrucât în construcția SMC trebuie avute în vedere, în mod obligatoriu, dispozițiile Regulamentului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34472A27" w14:textId="52CFBA0B" w:rsidR="00500692" w:rsidRPr="00B650D9" w:rsidRDefault="00500692" w:rsidP="00500692">
            <w:pPr>
              <w:spacing w:after="120"/>
              <w:jc w:val="both"/>
              <w:rPr>
                <w:sz w:val="23"/>
                <w:szCs w:val="23"/>
              </w:rPr>
            </w:pPr>
            <w:r w:rsidRPr="00B650D9">
              <w:rPr>
                <w:sz w:val="23"/>
                <w:szCs w:val="23"/>
              </w:rPr>
              <w:t>Având în vedere că elementele sus menționate vizează interesul public și strategic, sunt o prioritate a Programului de guvernare și constituie o situație a cărei reglementare nu poate fi amânată, se impune adoptarea de măsuri imediate pe calea Ordonanței Guvernului.</w:t>
            </w:r>
          </w:p>
          <w:p w14:paraId="4150D9CC" w14:textId="440B4E9F" w:rsidR="007D548D" w:rsidRPr="00B650D9" w:rsidRDefault="007D548D" w:rsidP="00500692">
            <w:pPr>
              <w:spacing w:after="120"/>
              <w:jc w:val="both"/>
              <w:rPr>
                <w:sz w:val="23"/>
                <w:szCs w:val="23"/>
              </w:rPr>
            </w:pPr>
            <w:r w:rsidRPr="00B650D9">
              <w:rPr>
                <w:sz w:val="23"/>
                <w:szCs w:val="23"/>
              </w:rPr>
              <w:t>În lipsa aprobării de urgență a acestui act normativ se vor înregistra următoarele efecte negative:</w:t>
            </w:r>
          </w:p>
          <w:p w14:paraId="00D3F478" w14:textId="7B0640CB" w:rsidR="007D548D" w:rsidRPr="00B650D9" w:rsidRDefault="007D548D" w:rsidP="007D548D">
            <w:pPr>
              <w:spacing w:after="120"/>
              <w:jc w:val="both"/>
              <w:rPr>
                <w:sz w:val="23"/>
                <w:szCs w:val="23"/>
              </w:rPr>
            </w:pPr>
            <w:r w:rsidRPr="00B650D9">
              <w:rPr>
                <w:sz w:val="23"/>
                <w:szCs w:val="23"/>
              </w:rPr>
              <w:t>- vor interveni întârzieri în procesul de dezvoltare al sistemului informatic MySMIS2021/SMIS2021+ care stă la baza gestionării fondurilor externe nerambursabile;</w:t>
            </w:r>
          </w:p>
          <w:p w14:paraId="187C7157" w14:textId="77777777" w:rsidR="007D548D" w:rsidRPr="00B650D9" w:rsidRDefault="007D548D" w:rsidP="007D548D">
            <w:pPr>
              <w:spacing w:after="120"/>
              <w:jc w:val="both"/>
              <w:rPr>
                <w:sz w:val="23"/>
                <w:szCs w:val="23"/>
              </w:rPr>
            </w:pPr>
            <w:r w:rsidRPr="00B650D9">
              <w:rPr>
                <w:sz w:val="23"/>
                <w:szCs w:val="23"/>
              </w:rPr>
              <w:t>- se va afecta procesul de lansare a apelurilor de proiecte pentru perioada de programare 2021-2027;</w:t>
            </w:r>
          </w:p>
          <w:p w14:paraId="114FD87B" w14:textId="4DF26772" w:rsidR="007D548D" w:rsidRPr="00B650D9" w:rsidRDefault="007D548D" w:rsidP="007D548D">
            <w:pPr>
              <w:spacing w:after="120"/>
              <w:jc w:val="both"/>
              <w:rPr>
                <w:sz w:val="23"/>
                <w:szCs w:val="23"/>
              </w:rPr>
            </w:pPr>
            <w:r w:rsidRPr="00B650D9">
              <w:rPr>
                <w:sz w:val="23"/>
                <w:szCs w:val="23"/>
              </w:rPr>
              <w:t>- se va întârzia procesul de absorbție a fondurilor europene alocate pentru perioada de programare 2021-2027;</w:t>
            </w:r>
          </w:p>
          <w:p w14:paraId="67775D8C" w14:textId="47ADBB34" w:rsidR="007D548D" w:rsidRPr="00B650D9" w:rsidRDefault="007D548D" w:rsidP="007D548D">
            <w:pPr>
              <w:spacing w:after="120"/>
              <w:jc w:val="both"/>
              <w:rPr>
                <w:sz w:val="23"/>
                <w:szCs w:val="23"/>
              </w:rPr>
            </w:pPr>
            <w:r w:rsidRPr="00B650D9">
              <w:rPr>
                <w:sz w:val="23"/>
                <w:szCs w:val="23"/>
              </w:rPr>
              <w:t>- nu va exista o abordare armonizată la nivelul autorităților de management în tratarea aspectelor orizontale și care nu au legătură cu specificul programului pe care-l gestionează;</w:t>
            </w:r>
          </w:p>
          <w:p w14:paraId="6EF384BE" w14:textId="3A85746A" w:rsidR="007D548D" w:rsidRPr="00B650D9" w:rsidRDefault="007D548D" w:rsidP="007D548D">
            <w:pPr>
              <w:spacing w:after="120"/>
              <w:jc w:val="both"/>
              <w:rPr>
                <w:sz w:val="23"/>
                <w:szCs w:val="23"/>
              </w:rPr>
            </w:pPr>
            <w:r w:rsidRPr="00B650D9">
              <w:rPr>
                <w:sz w:val="23"/>
                <w:szCs w:val="23"/>
              </w:rPr>
              <w:t xml:space="preserve">- se va îngreuna accesul beneficiarilor la fondurile europene care trebuie accesate într-un cadru legal și procedural predictibil, flexibil și </w:t>
            </w:r>
            <w:r w:rsidR="00DE5AF9" w:rsidRPr="00B650D9">
              <w:rPr>
                <w:sz w:val="23"/>
                <w:szCs w:val="23"/>
              </w:rPr>
              <w:t>considerabil simplificat.</w:t>
            </w:r>
          </w:p>
          <w:p w14:paraId="7243E57D" w14:textId="041E244D" w:rsidR="00DE5AF9" w:rsidRPr="00B650D9" w:rsidRDefault="00DE5AF9" w:rsidP="007D548D">
            <w:pPr>
              <w:spacing w:after="120"/>
              <w:jc w:val="both"/>
              <w:rPr>
                <w:sz w:val="23"/>
                <w:szCs w:val="23"/>
              </w:rPr>
            </w:pPr>
            <w:r w:rsidRPr="00B650D9">
              <w:rPr>
                <w:sz w:val="23"/>
                <w:szCs w:val="23"/>
              </w:rPr>
              <w:t>Având în vedere efectele negative preconizate este necesară promovarea de urgență a acestui act normativ pentru a asigura premisele:</w:t>
            </w:r>
          </w:p>
          <w:p w14:paraId="64BD8FBB" w14:textId="070D78C3" w:rsidR="00DE5AF9" w:rsidRPr="00B650D9" w:rsidRDefault="00DE5AF9" w:rsidP="00DE5AF9">
            <w:pPr>
              <w:spacing w:after="120"/>
              <w:jc w:val="both"/>
              <w:rPr>
                <w:sz w:val="23"/>
                <w:szCs w:val="23"/>
              </w:rPr>
            </w:pPr>
            <w:r w:rsidRPr="00B650D9">
              <w:rPr>
                <w:sz w:val="23"/>
                <w:szCs w:val="23"/>
              </w:rPr>
              <w:t>- unei dezvoltări în timp util a sistemului informatic MySMIS2021/SMIS2021+;</w:t>
            </w:r>
          </w:p>
          <w:p w14:paraId="51A3EF85" w14:textId="2A1B35E7" w:rsidR="00DE5AF9" w:rsidRPr="00B650D9" w:rsidRDefault="00DE5AF9" w:rsidP="00DE5AF9">
            <w:pPr>
              <w:spacing w:after="120"/>
              <w:jc w:val="both"/>
              <w:rPr>
                <w:sz w:val="23"/>
                <w:szCs w:val="23"/>
              </w:rPr>
            </w:pPr>
            <w:r w:rsidRPr="00B650D9">
              <w:rPr>
                <w:sz w:val="23"/>
                <w:szCs w:val="23"/>
              </w:rPr>
              <w:t>- lansării apelurilor de proiecte pentru perioada de programare 2021-2027 într-un cadru legal și procedural predictibil, flexibil și considerabil simplificat;</w:t>
            </w:r>
          </w:p>
          <w:p w14:paraId="0F3C7189" w14:textId="6745888E" w:rsidR="00DE5AF9" w:rsidRPr="00B650D9" w:rsidRDefault="00DE5AF9" w:rsidP="00DE5AF9">
            <w:pPr>
              <w:spacing w:after="120"/>
              <w:jc w:val="both"/>
              <w:rPr>
                <w:sz w:val="23"/>
                <w:szCs w:val="23"/>
              </w:rPr>
            </w:pPr>
            <w:r w:rsidRPr="00B650D9">
              <w:rPr>
                <w:sz w:val="23"/>
                <w:szCs w:val="23"/>
              </w:rPr>
              <w:t>- inițierii măsurilor necesare pentru procesul de absorbție a fondurilor europene alocate pentru perioada de programare 2021-2027, în contextul unei alocări de fonduri mult mai mari decât în perioada 2014-202o;</w:t>
            </w:r>
          </w:p>
          <w:p w14:paraId="5A76EE9B" w14:textId="33F343C6" w:rsidR="00DE5AF9" w:rsidRPr="00B650D9" w:rsidRDefault="00DE5AF9" w:rsidP="00DE5AF9">
            <w:pPr>
              <w:spacing w:after="120"/>
              <w:jc w:val="both"/>
              <w:rPr>
                <w:sz w:val="23"/>
                <w:szCs w:val="23"/>
              </w:rPr>
            </w:pPr>
            <w:r w:rsidRPr="00B650D9">
              <w:rPr>
                <w:sz w:val="23"/>
                <w:szCs w:val="23"/>
              </w:rPr>
              <w:t>- simplificării modalității de evaluare a proiectelor;</w:t>
            </w:r>
          </w:p>
          <w:p w14:paraId="18F1AD23" w14:textId="3884536F" w:rsidR="00DE5AF9" w:rsidRPr="00B650D9" w:rsidRDefault="00DE5AF9" w:rsidP="00DE5AF9">
            <w:pPr>
              <w:spacing w:after="120"/>
              <w:jc w:val="both"/>
              <w:rPr>
                <w:sz w:val="23"/>
                <w:szCs w:val="23"/>
              </w:rPr>
            </w:pPr>
            <w:r w:rsidRPr="00B650D9">
              <w:rPr>
                <w:sz w:val="23"/>
                <w:szCs w:val="23"/>
              </w:rPr>
              <w:t>- accesului beneficiarilor la fondurile europene;</w:t>
            </w:r>
          </w:p>
          <w:p w14:paraId="47819CB8" w14:textId="7A21BA01" w:rsidR="00DE5AF9" w:rsidRPr="00B650D9" w:rsidRDefault="00DE5AF9" w:rsidP="00DE5AF9">
            <w:pPr>
              <w:spacing w:after="120"/>
              <w:jc w:val="both"/>
              <w:rPr>
                <w:sz w:val="23"/>
                <w:szCs w:val="23"/>
              </w:rPr>
            </w:pPr>
            <w:r w:rsidRPr="00B650D9">
              <w:rPr>
                <w:sz w:val="23"/>
                <w:szCs w:val="23"/>
              </w:rPr>
              <w:t>- consolidării funcției de monitorizare a proiectelor;</w:t>
            </w:r>
          </w:p>
          <w:p w14:paraId="61ABABA5" w14:textId="4E4B2AA2" w:rsidR="00DE5AF9" w:rsidRPr="00B650D9" w:rsidRDefault="00DE5AF9" w:rsidP="00DE5AF9">
            <w:pPr>
              <w:spacing w:after="120"/>
              <w:jc w:val="both"/>
              <w:rPr>
                <w:sz w:val="23"/>
                <w:szCs w:val="23"/>
              </w:rPr>
            </w:pPr>
            <w:r w:rsidRPr="00B650D9">
              <w:rPr>
                <w:sz w:val="23"/>
                <w:szCs w:val="23"/>
              </w:rPr>
              <w:t>- armonizării regulilor legale și procedurale pentru beneficiarii la fondurile europene.</w:t>
            </w:r>
          </w:p>
          <w:p w14:paraId="4238D1EB" w14:textId="4264132F" w:rsidR="00223491" w:rsidRPr="00B650D9" w:rsidRDefault="00223491" w:rsidP="004E2DB8">
            <w:pPr>
              <w:pStyle w:val="ListParagraph"/>
              <w:numPr>
                <w:ilvl w:val="1"/>
                <w:numId w:val="22"/>
              </w:numPr>
              <w:autoSpaceDE w:val="0"/>
              <w:autoSpaceDN w:val="0"/>
              <w:adjustRightInd w:val="0"/>
              <w:spacing w:after="120"/>
              <w:contextualSpacing w:val="0"/>
              <w:jc w:val="both"/>
              <w:rPr>
                <w:rFonts w:ascii="Times New Roman" w:hAnsi="Times New Roman" w:cs="Times New Roman"/>
                <w:b/>
                <w:sz w:val="23"/>
                <w:szCs w:val="23"/>
                <w:lang w:eastAsia="ro-RO"/>
              </w:rPr>
            </w:pPr>
            <w:r w:rsidRPr="00B650D9">
              <w:rPr>
                <w:rFonts w:ascii="Times New Roman" w:hAnsi="Times New Roman" w:cs="Times New Roman"/>
                <w:b/>
                <w:sz w:val="23"/>
                <w:szCs w:val="23"/>
                <w:lang w:eastAsia="ro-RO"/>
              </w:rPr>
              <w:t>Schimbări preconizate</w:t>
            </w:r>
          </w:p>
          <w:p w14:paraId="4D1F2712" w14:textId="45DCA56D" w:rsidR="004E2DB8" w:rsidRPr="00B650D9" w:rsidRDefault="004E2DB8" w:rsidP="004E2DB8">
            <w:pPr>
              <w:autoSpaceDE w:val="0"/>
              <w:autoSpaceDN w:val="0"/>
              <w:adjustRightInd w:val="0"/>
              <w:spacing w:after="120"/>
              <w:jc w:val="both"/>
              <w:rPr>
                <w:rFonts w:eastAsiaTheme="minorHAnsi"/>
                <w:bCs/>
                <w:sz w:val="23"/>
                <w:szCs w:val="23"/>
                <w:lang w:eastAsia="ro-RO"/>
              </w:rPr>
            </w:pPr>
            <w:r w:rsidRPr="00B650D9">
              <w:rPr>
                <w:rFonts w:eastAsiaTheme="minorHAnsi"/>
                <w:bCs/>
                <w:sz w:val="23"/>
                <w:szCs w:val="23"/>
                <w:lang w:eastAsia="ro-RO"/>
              </w:rPr>
              <w:t>Prezentul act normativ are drept scop asigurarea accesului facil, transparent, nediscriminatoriu, competitiv și simplificat la fondurile externe nerambursabile, cu respectarea prevederilor Regulamentului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3DE602F1" w14:textId="23C9D406" w:rsidR="00D76698" w:rsidRPr="00B650D9" w:rsidRDefault="00D76698" w:rsidP="004E2DB8">
            <w:pPr>
              <w:autoSpaceDE w:val="0"/>
              <w:autoSpaceDN w:val="0"/>
              <w:adjustRightInd w:val="0"/>
              <w:spacing w:after="120"/>
              <w:jc w:val="both"/>
              <w:rPr>
                <w:rFonts w:eastAsiaTheme="minorHAnsi"/>
                <w:bCs/>
                <w:sz w:val="23"/>
                <w:szCs w:val="23"/>
                <w:lang w:eastAsia="ro-RO"/>
              </w:rPr>
            </w:pPr>
            <w:r w:rsidRPr="00B650D9">
              <w:rPr>
                <w:rFonts w:eastAsiaTheme="minorHAnsi"/>
                <w:bCs/>
                <w:sz w:val="23"/>
                <w:szCs w:val="23"/>
                <w:lang w:eastAsia="ro-RO"/>
              </w:rPr>
              <w:t>Prezentul act normativ vizează următoarele aspecte:</w:t>
            </w:r>
          </w:p>
          <w:p w14:paraId="4B720A6C" w14:textId="5DF0889E" w:rsidR="003E715F" w:rsidRPr="00B650D9" w:rsidRDefault="003E715F" w:rsidP="004E2DB8">
            <w:pPr>
              <w:pStyle w:val="ListParagraph"/>
              <w:numPr>
                <w:ilvl w:val="0"/>
                <w:numId w:val="26"/>
              </w:numPr>
              <w:autoSpaceDE w:val="0"/>
              <w:autoSpaceDN w:val="0"/>
              <w:adjustRightInd w:val="0"/>
              <w:spacing w:after="120"/>
              <w:contextualSpacing w:val="0"/>
              <w:jc w:val="both"/>
              <w:rPr>
                <w:rFonts w:ascii="Times New Roman" w:hAnsi="Times New Roman" w:cs="Times New Roman"/>
                <w:bCs/>
                <w:sz w:val="23"/>
                <w:szCs w:val="23"/>
                <w:lang w:eastAsia="ro-RO"/>
              </w:rPr>
            </w:pPr>
            <w:r w:rsidRPr="00B650D9">
              <w:rPr>
                <w:rFonts w:ascii="Times New Roman" w:hAnsi="Times New Roman" w:cs="Times New Roman"/>
                <w:bCs/>
                <w:sz w:val="23"/>
                <w:szCs w:val="23"/>
                <w:lang w:eastAsia="ro-RO"/>
              </w:rPr>
              <w:lastRenderedPageBreak/>
              <w:t>asigurarea predictibilității calendarului de lansări la nivel de program pentru beneficiari, astfel încât să se prevină și eventuale suprapuneri de apeluri cu aceeași tematică în perioade similare de timp;</w:t>
            </w:r>
          </w:p>
          <w:p w14:paraId="6FB5FBBF" w14:textId="2A9862F5" w:rsidR="004D4CFB" w:rsidRPr="00B650D9" w:rsidRDefault="004D4CFB" w:rsidP="004E2DB8">
            <w:pPr>
              <w:pStyle w:val="ListParagraph"/>
              <w:numPr>
                <w:ilvl w:val="0"/>
                <w:numId w:val="26"/>
              </w:numPr>
              <w:autoSpaceDE w:val="0"/>
              <w:autoSpaceDN w:val="0"/>
              <w:adjustRightInd w:val="0"/>
              <w:spacing w:after="120"/>
              <w:contextualSpacing w:val="0"/>
              <w:jc w:val="both"/>
              <w:rPr>
                <w:rFonts w:ascii="Times New Roman" w:hAnsi="Times New Roman" w:cs="Times New Roman"/>
                <w:bCs/>
                <w:sz w:val="23"/>
                <w:szCs w:val="23"/>
                <w:lang w:eastAsia="ro-RO"/>
              </w:rPr>
            </w:pPr>
            <w:r w:rsidRPr="00B650D9">
              <w:rPr>
                <w:rFonts w:ascii="Times New Roman" w:hAnsi="Times New Roman" w:cs="Times New Roman"/>
                <w:bCs/>
                <w:sz w:val="23"/>
                <w:szCs w:val="23"/>
                <w:lang w:eastAsia="ro-RO"/>
              </w:rPr>
              <w:t>pentru asigurarea transparenței alocării fondurilor externe nerambursabile prin publicarea în consultare publică a ghidului solicitantului;</w:t>
            </w:r>
          </w:p>
          <w:p w14:paraId="71069EBF" w14:textId="77777777" w:rsidR="003E715F" w:rsidRPr="00B650D9" w:rsidRDefault="003E715F" w:rsidP="004E2DB8">
            <w:pPr>
              <w:pStyle w:val="ListParagraph"/>
              <w:numPr>
                <w:ilvl w:val="0"/>
                <w:numId w:val="26"/>
              </w:numPr>
              <w:autoSpaceDE w:val="0"/>
              <w:autoSpaceDN w:val="0"/>
              <w:adjustRightInd w:val="0"/>
              <w:spacing w:after="120"/>
              <w:contextualSpacing w:val="0"/>
              <w:jc w:val="both"/>
              <w:rPr>
                <w:rFonts w:ascii="Times New Roman" w:hAnsi="Times New Roman" w:cs="Times New Roman"/>
                <w:bCs/>
                <w:sz w:val="23"/>
                <w:szCs w:val="23"/>
                <w:lang w:eastAsia="ro-RO"/>
              </w:rPr>
            </w:pPr>
            <w:r w:rsidRPr="00B650D9">
              <w:rPr>
                <w:rFonts w:ascii="Times New Roman" w:hAnsi="Times New Roman" w:cs="Times New Roman"/>
                <w:bCs/>
                <w:sz w:val="23"/>
                <w:szCs w:val="23"/>
                <w:lang w:eastAsia="ro-RO"/>
              </w:rPr>
              <w:t>asigurarea resurselor necesare pentru evaluarea și selecția proiectelor;</w:t>
            </w:r>
          </w:p>
          <w:p w14:paraId="0867ABFB" w14:textId="77777777" w:rsidR="004D4CFB" w:rsidRPr="00B650D9" w:rsidRDefault="003E715F" w:rsidP="009C3162">
            <w:pPr>
              <w:pStyle w:val="ListParagraph"/>
              <w:numPr>
                <w:ilvl w:val="0"/>
                <w:numId w:val="26"/>
              </w:numPr>
              <w:autoSpaceDE w:val="0"/>
              <w:autoSpaceDN w:val="0"/>
              <w:adjustRightInd w:val="0"/>
              <w:spacing w:after="120"/>
              <w:contextualSpacing w:val="0"/>
              <w:jc w:val="both"/>
              <w:rPr>
                <w:rFonts w:ascii="Times New Roman" w:hAnsi="Times New Roman" w:cs="Times New Roman"/>
                <w:bCs/>
                <w:sz w:val="23"/>
                <w:szCs w:val="23"/>
                <w:lang w:eastAsia="ro-RO"/>
              </w:rPr>
            </w:pPr>
            <w:r w:rsidRPr="00B650D9">
              <w:rPr>
                <w:rFonts w:ascii="Times New Roman" w:hAnsi="Times New Roman" w:cs="Times New Roman"/>
                <w:bCs/>
                <w:sz w:val="23"/>
                <w:szCs w:val="23"/>
                <w:lang w:eastAsia="ro-RO"/>
              </w:rPr>
              <w:t>simplificarea modalității de evaluare a proiectelor</w:t>
            </w:r>
            <w:r w:rsidR="004D4CFB" w:rsidRPr="00B650D9">
              <w:rPr>
                <w:rFonts w:ascii="Times New Roman" w:hAnsi="Times New Roman" w:cs="Times New Roman"/>
                <w:bCs/>
                <w:sz w:val="23"/>
                <w:szCs w:val="23"/>
                <w:lang w:eastAsia="ro-RO"/>
              </w:rPr>
              <w:t>:</w:t>
            </w:r>
          </w:p>
          <w:p w14:paraId="7B657659" w14:textId="77777777" w:rsidR="009C3162" w:rsidRPr="00B650D9" w:rsidRDefault="004D4CFB" w:rsidP="009C3162">
            <w:pPr>
              <w:pStyle w:val="ListParagraph"/>
              <w:numPr>
                <w:ilvl w:val="1"/>
                <w:numId w:val="26"/>
              </w:numPr>
              <w:autoSpaceDE w:val="0"/>
              <w:autoSpaceDN w:val="0"/>
              <w:adjustRightInd w:val="0"/>
              <w:spacing w:after="120"/>
              <w:contextualSpacing w:val="0"/>
              <w:jc w:val="both"/>
              <w:rPr>
                <w:rFonts w:ascii="Times New Roman" w:hAnsi="Times New Roman" w:cs="Times New Roman"/>
                <w:bCs/>
                <w:sz w:val="23"/>
                <w:szCs w:val="23"/>
                <w:lang w:eastAsia="ro-RO"/>
              </w:rPr>
            </w:pPr>
            <w:r w:rsidRPr="00B650D9">
              <w:rPr>
                <w:rFonts w:ascii="Times New Roman" w:hAnsi="Times New Roman" w:cs="Times New Roman"/>
                <w:bCs/>
                <w:sz w:val="23"/>
                <w:szCs w:val="23"/>
                <w:lang w:eastAsia="ro-RO"/>
              </w:rPr>
              <w:t>condițiile de eligibilitate ale solicitanților de fonduri externe nerambursabile</w:t>
            </w:r>
            <w:r w:rsidR="009C3162" w:rsidRPr="00B650D9">
              <w:rPr>
                <w:rFonts w:ascii="Times New Roman" w:hAnsi="Times New Roman" w:cs="Times New Roman"/>
                <w:sz w:val="23"/>
                <w:szCs w:val="23"/>
              </w:rPr>
              <w:t xml:space="preserve"> </w:t>
            </w:r>
            <w:r w:rsidR="009C3162" w:rsidRPr="00B650D9">
              <w:rPr>
                <w:rFonts w:ascii="Times New Roman" w:hAnsi="Times New Roman" w:cs="Times New Roman"/>
                <w:bCs/>
                <w:sz w:val="23"/>
                <w:szCs w:val="23"/>
                <w:lang w:eastAsia="ro-RO"/>
              </w:rPr>
              <w:t>fac obiectul declarații unice a solicitantului care se depune odată cu cererea de finanțare;</w:t>
            </w:r>
          </w:p>
          <w:p w14:paraId="484E8407" w14:textId="13008CDE" w:rsidR="009C3162" w:rsidRPr="00B650D9" w:rsidRDefault="009C3162" w:rsidP="009C3162">
            <w:pPr>
              <w:pStyle w:val="ListParagraph"/>
              <w:numPr>
                <w:ilvl w:val="1"/>
                <w:numId w:val="26"/>
              </w:numPr>
              <w:spacing w:after="120"/>
              <w:contextualSpacing w:val="0"/>
              <w:rPr>
                <w:rFonts w:ascii="Times New Roman" w:hAnsi="Times New Roman" w:cs="Times New Roman"/>
                <w:bCs/>
                <w:sz w:val="23"/>
                <w:szCs w:val="23"/>
                <w:lang w:eastAsia="ro-RO"/>
              </w:rPr>
            </w:pPr>
            <w:r w:rsidRPr="00B650D9">
              <w:rPr>
                <w:rFonts w:ascii="Times New Roman" w:hAnsi="Times New Roman" w:cs="Times New Roman"/>
                <w:bCs/>
                <w:sz w:val="23"/>
                <w:szCs w:val="23"/>
                <w:lang w:eastAsia="ro-RO"/>
              </w:rPr>
              <w:t>evaluarea conformității administrative este complet digitalizată;</w:t>
            </w:r>
            <w:r w:rsidR="003E715F" w:rsidRPr="00B650D9">
              <w:rPr>
                <w:rFonts w:ascii="Times New Roman" w:hAnsi="Times New Roman" w:cs="Times New Roman"/>
                <w:bCs/>
                <w:sz w:val="23"/>
                <w:szCs w:val="23"/>
                <w:lang w:eastAsia="ro-RO"/>
              </w:rPr>
              <w:t xml:space="preserve"> </w:t>
            </w:r>
          </w:p>
          <w:p w14:paraId="7E38168F" w14:textId="38AED3D3" w:rsidR="003E715F" w:rsidRPr="00B650D9" w:rsidRDefault="009C3162" w:rsidP="009C3162">
            <w:pPr>
              <w:pStyle w:val="ListParagraph"/>
              <w:numPr>
                <w:ilvl w:val="1"/>
                <w:numId w:val="26"/>
              </w:numPr>
              <w:autoSpaceDE w:val="0"/>
              <w:autoSpaceDN w:val="0"/>
              <w:adjustRightInd w:val="0"/>
              <w:spacing w:after="120"/>
              <w:contextualSpacing w:val="0"/>
              <w:jc w:val="both"/>
              <w:rPr>
                <w:rFonts w:ascii="Times New Roman" w:hAnsi="Times New Roman" w:cs="Times New Roman"/>
                <w:bCs/>
                <w:sz w:val="23"/>
                <w:szCs w:val="23"/>
                <w:lang w:eastAsia="ro-RO"/>
              </w:rPr>
            </w:pPr>
            <w:r w:rsidRPr="00B650D9">
              <w:rPr>
                <w:rFonts w:ascii="Times New Roman" w:hAnsi="Times New Roman" w:cs="Times New Roman"/>
                <w:bCs/>
                <w:sz w:val="23"/>
                <w:szCs w:val="23"/>
                <w:lang w:eastAsia="ro-RO"/>
              </w:rPr>
              <w:t>evaluarea tehnico-financiară se realizează pe baza unui număr redus</w:t>
            </w:r>
            <w:r w:rsidR="003E715F" w:rsidRPr="00B650D9">
              <w:rPr>
                <w:rFonts w:ascii="Times New Roman" w:hAnsi="Times New Roman" w:cs="Times New Roman"/>
                <w:bCs/>
                <w:sz w:val="23"/>
                <w:szCs w:val="23"/>
                <w:lang w:eastAsia="ro-RO"/>
              </w:rPr>
              <w:t xml:space="preserve"> </w:t>
            </w:r>
            <w:r w:rsidRPr="00B650D9">
              <w:rPr>
                <w:rFonts w:ascii="Times New Roman" w:hAnsi="Times New Roman" w:cs="Times New Roman"/>
                <w:bCs/>
                <w:sz w:val="23"/>
                <w:szCs w:val="23"/>
                <w:lang w:eastAsia="ro-RO"/>
              </w:rPr>
              <w:t xml:space="preserve">de </w:t>
            </w:r>
            <w:r w:rsidR="003E715F" w:rsidRPr="00B650D9">
              <w:rPr>
                <w:rFonts w:ascii="Times New Roman" w:hAnsi="Times New Roman" w:cs="Times New Roman"/>
                <w:bCs/>
                <w:sz w:val="23"/>
                <w:szCs w:val="23"/>
                <w:lang w:eastAsia="ro-RO"/>
              </w:rPr>
              <w:t>criterii și a subcriteriilor, astfel încât acestea să permită selecție mai rapidă, parțial digitalizată și automatizată prin interoperabilitatea diferitelor sisteme informatice care asigură furnizarea de informații despre situația juridică și financiară a potențialilor beneficiari;</w:t>
            </w:r>
          </w:p>
          <w:p w14:paraId="26011680" w14:textId="2EB2127A" w:rsidR="00572F66" w:rsidRPr="00B650D9" w:rsidRDefault="00572F66" w:rsidP="009C3162">
            <w:pPr>
              <w:pStyle w:val="ListParagraph"/>
              <w:numPr>
                <w:ilvl w:val="1"/>
                <w:numId w:val="26"/>
              </w:numPr>
              <w:autoSpaceDE w:val="0"/>
              <w:autoSpaceDN w:val="0"/>
              <w:adjustRightInd w:val="0"/>
              <w:spacing w:after="120"/>
              <w:contextualSpacing w:val="0"/>
              <w:jc w:val="both"/>
              <w:rPr>
                <w:rFonts w:ascii="Times New Roman" w:hAnsi="Times New Roman" w:cs="Times New Roman"/>
                <w:bCs/>
                <w:sz w:val="23"/>
                <w:szCs w:val="23"/>
                <w:lang w:eastAsia="ro-RO"/>
              </w:rPr>
            </w:pPr>
            <w:r w:rsidRPr="00B650D9">
              <w:rPr>
                <w:rFonts w:ascii="Times New Roman" w:hAnsi="Times New Roman" w:cs="Times New Roman"/>
                <w:bCs/>
                <w:sz w:val="23"/>
                <w:szCs w:val="23"/>
                <w:lang w:eastAsia="ro-RO"/>
              </w:rPr>
              <w:t>îndeplinir</w:t>
            </w:r>
            <w:r w:rsidR="009A512F" w:rsidRPr="00B650D9">
              <w:rPr>
                <w:rFonts w:ascii="Times New Roman" w:hAnsi="Times New Roman" w:cs="Times New Roman"/>
                <w:bCs/>
                <w:sz w:val="23"/>
                <w:szCs w:val="23"/>
                <w:lang w:eastAsia="ro-RO"/>
              </w:rPr>
              <w:t xml:space="preserve">ea </w:t>
            </w:r>
            <w:r w:rsidRPr="00B650D9">
              <w:rPr>
                <w:rFonts w:ascii="Times New Roman" w:hAnsi="Times New Roman" w:cs="Times New Roman"/>
                <w:bCs/>
                <w:sz w:val="23"/>
                <w:szCs w:val="23"/>
                <w:lang w:eastAsia="ro-RO"/>
              </w:rPr>
              <w:t xml:space="preserve">tuturor criteriilor de eligibilitate se realizează în etapa de </w:t>
            </w:r>
            <w:r w:rsidR="009A512F" w:rsidRPr="00B650D9">
              <w:rPr>
                <w:rFonts w:ascii="Times New Roman" w:hAnsi="Times New Roman" w:cs="Times New Roman"/>
                <w:bCs/>
                <w:sz w:val="23"/>
                <w:szCs w:val="23"/>
                <w:lang w:eastAsia="ro-RO"/>
              </w:rPr>
              <w:t>contra</w:t>
            </w:r>
            <w:r w:rsidR="001110D7" w:rsidRPr="00B650D9">
              <w:rPr>
                <w:rFonts w:ascii="Times New Roman" w:hAnsi="Times New Roman" w:cs="Times New Roman"/>
                <w:bCs/>
                <w:sz w:val="23"/>
                <w:szCs w:val="23"/>
                <w:lang w:eastAsia="ro-RO"/>
              </w:rPr>
              <w:t>c</w:t>
            </w:r>
            <w:r w:rsidR="009A512F" w:rsidRPr="00B650D9">
              <w:rPr>
                <w:rFonts w:ascii="Times New Roman" w:hAnsi="Times New Roman" w:cs="Times New Roman"/>
                <w:bCs/>
                <w:sz w:val="23"/>
                <w:szCs w:val="23"/>
                <w:lang w:eastAsia="ro-RO"/>
              </w:rPr>
              <w:t>t</w:t>
            </w:r>
            <w:r w:rsidR="001110D7" w:rsidRPr="00B650D9">
              <w:rPr>
                <w:rFonts w:ascii="Times New Roman" w:hAnsi="Times New Roman" w:cs="Times New Roman"/>
                <w:bCs/>
                <w:sz w:val="23"/>
                <w:szCs w:val="23"/>
                <w:lang w:eastAsia="ro-RO"/>
              </w:rPr>
              <w:t>a</w:t>
            </w:r>
            <w:r w:rsidR="009A512F" w:rsidRPr="00B650D9">
              <w:rPr>
                <w:rFonts w:ascii="Times New Roman" w:hAnsi="Times New Roman" w:cs="Times New Roman"/>
                <w:bCs/>
                <w:sz w:val="23"/>
                <w:szCs w:val="23"/>
                <w:lang w:eastAsia="ro-RO"/>
              </w:rPr>
              <w:t xml:space="preserve">re, când </w:t>
            </w:r>
            <w:r w:rsidRPr="00B650D9">
              <w:rPr>
                <w:rFonts w:ascii="Times New Roman" w:hAnsi="Times New Roman" w:cs="Times New Roman"/>
                <w:bCs/>
                <w:sz w:val="23"/>
                <w:szCs w:val="23"/>
                <w:lang w:eastAsia="ro-RO"/>
              </w:rPr>
              <w:t>solicitantul trebuie să facă dovada celor declarate prin declarația unică</w:t>
            </w:r>
            <w:r w:rsidR="009A512F" w:rsidRPr="00B650D9">
              <w:rPr>
                <w:rFonts w:ascii="Times New Roman" w:hAnsi="Times New Roman" w:cs="Times New Roman"/>
                <w:bCs/>
                <w:sz w:val="23"/>
                <w:szCs w:val="23"/>
                <w:lang w:eastAsia="ro-RO"/>
              </w:rPr>
              <w:t>. Solicitantului nu i se vor solicita documentele deja verificate în procesul de evaluare tehnică și financiară.</w:t>
            </w:r>
          </w:p>
          <w:p w14:paraId="650D8B2E" w14:textId="4B0D0243" w:rsidR="00572F66" w:rsidRPr="00B650D9" w:rsidRDefault="003E715F" w:rsidP="004E2DB8">
            <w:pPr>
              <w:pStyle w:val="ListParagraph"/>
              <w:numPr>
                <w:ilvl w:val="0"/>
                <w:numId w:val="26"/>
              </w:numPr>
              <w:autoSpaceDE w:val="0"/>
              <w:autoSpaceDN w:val="0"/>
              <w:adjustRightInd w:val="0"/>
              <w:spacing w:after="120"/>
              <w:contextualSpacing w:val="0"/>
              <w:jc w:val="both"/>
              <w:rPr>
                <w:rFonts w:ascii="Times New Roman" w:hAnsi="Times New Roman" w:cs="Times New Roman"/>
                <w:bCs/>
                <w:sz w:val="23"/>
                <w:szCs w:val="23"/>
                <w:lang w:eastAsia="ro-RO"/>
              </w:rPr>
            </w:pPr>
            <w:r w:rsidRPr="00B650D9">
              <w:rPr>
                <w:rFonts w:ascii="Times New Roman" w:hAnsi="Times New Roman" w:cs="Times New Roman"/>
                <w:bCs/>
                <w:sz w:val="23"/>
                <w:szCs w:val="23"/>
                <w:lang w:eastAsia="ro-RO"/>
              </w:rPr>
              <w:t>stabilirea unui</w:t>
            </w:r>
            <w:r w:rsidR="009C3162" w:rsidRPr="00B650D9">
              <w:rPr>
                <w:rFonts w:ascii="Times New Roman" w:hAnsi="Times New Roman" w:cs="Times New Roman"/>
                <w:bCs/>
                <w:sz w:val="23"/>
                <w:szCs w:val="23"/>
                <w:lang w:eastAsia="ro-RO"/>
              </w:rPr>
              <w:t xml:space="preserve"> prag de excelentă</w:t>
            </w:r>
            <w:r w:rsidRPr="00B650D9">
              <w:rPr>
                <w:rFonts w:ascii="Times New Roman" w:hAnsi="Times New Roman" w:cs="Times New Roman"/>
                <w:bCs/>
                <w:sz w:val="23"/>
                <w:szCs w:val="23"/>
                <w:lang w:eastAsia="ro-RO"/>
              </w:rPr>
              <w:t xml:space="preserve">, </w:t>
            </w:r>
            <w:r w:rsidR="009C3162" w:rsidRPr="00B650D9">
              <w:rPr>
                <w:rFonts w:ascii="Times New Roman" w:hAnsi="Times New Roman" w:cs="Times New Roman"/>
                <w:bCs/>
                <w:sz w:val="23"/>
                <w:szCs w:val="23"/>
                <w:lang w:eastAsia="ro-RO"/>
              </w:rPr>
              <w:t xml:space="preserve">care </w:t>
            </w:r>
            <w:r w:rsidRPr="00B650D9">
              <w:rPr>
                <w:rFonts w:ascii="Times New Roman" w:hAnsi="Times New Roman" w:cs="Times New Roman"/>
                <w:bCs/>
                <w:sz w:val="23"/>
                <w:szCs w:val="23"/>
                <w:lang w:eastAsia="ro-RO"/>
              </w:rPr>
              <w:t xml:space="preserve">permite </w:t>
            </w:r>
            <w:r w:rsidR="00572F66" w:rsidRPr="00B650D9">
              <w:rPr>
                <w:rFonts w:ascii="Times New Roman" w:hAnsi="Times New Roman" w:cs="Times New Roman"/>
                <w:bCs/>
                <w:sz w:val="23"/>
                <w:szCs w:val="23"/>
                <w:lang w:eastAsia="ro-RO"/>
              </w:rPr>
              <w:t>unui proiect să fie selectat în mod automat pentru aprobare și contractare;</w:t>
            </w:r>
          </w:p>
          <w:p w14:paraId="7DAEB73E" w14:textId="62F1E470" w:rsidR="003E715F" w:rsidRPr="00B650D9" w:rsidRDefault="003E715F" w:rsidP="004E2DB8">
            <w:pPr>
              <w:pStyle w:val="ListParagraph"/>
              <w:numPr>
                <w:ilvl w:val="0"/>
                <w:numId w:val="26"/>
              </w:numPr>
              <w:autoSpaceDE w:val="0"/>
              <w:autoSpaceDN w:val="0"/>
              <w:adjustRightInd w:val="0"/>
              <w:spacing w:after="120"/>
              <w:contextualSpacing w:val="0"/>
              <w:jc w:val="both"/>
              <w:rPr>
                <w:rFonts w:ascii="Times New Roman" w:hAnsi="Times New Roman" w:cs="Times New Roman"/>
                <w:bCs/>
                <w:sz w:val="23"/>
                <w:szCs w:val="23"/>
                <w:lang w:eastAsia="ro-RO"/>
              </w:rPr>
            </w:pPr>
            <w:r w:rsidRPr="00B650D9">
              <w:rPr>
                <w:rFonts w:ascii="Times New Roman" w:hAnsi="Times New Roman" w:cs="Times New Roman"/>
                <w:bCs/>
                <w:sz w:val="23"/>
                <w:szCs w:val="23"/>
                <w:lang w:eastAsia="ro-RO"/>
              </w:rPr>
              <w:t>eficientizarea și accelerarea procesului de implementare a proiectelor</w:t>
            </w:r>
            <w:r w:rsidR="00725A1F" w:rsidRPr="00B650D9">
              <w:rPr>
                <w:rFonts w:ascii="Times New Roman" w:hAnsi="Times New Roman" w:cs="Times New Roman"/>
                <w:bCs/>
                <w:sz w:val="23"/>
                <w:szCs w:val="23"/>
                <w:lang w:eastAsia="ro-RO"/>
              </w:rPr>
              <w:t xml:space="preserve">, inclusiv prin îmbunătățirea funcționalităților MySMIS2021/SMIS2021+ prin automatizarea anumitor acțiuni </w:t>
            </w:r>
            <w:r w:rsidR="00CA2209" w:rsidRPr="00B650D9">
              <w:rPr>
                <w:rFonts w:ascii="Times New Roman" w:hAnsi="Times New Roman" w:cs="Times New Roman"/>
                <w:bCs/>
                <w:sz w:val="23"/>
                <w:szCs w:val="23"/>
                <w:lang w:eastAsia="ro-RO"/>
              </w:rPr>
              <w:t>în diversele eta</w:t>
            </w:r>
            <w:r w:rsidR="00E512B3" w:rsidRPr="00B650D9">
              <w:rPr>
                <w:rFonts w:ascii="Times New Roman" w:hAnsi="Times New Roman" w:cs="Times New Roman"/>
                <w:bCs/>
                <w:sz w:val="23"/>
                <w:szCs w:val="23"/>
                <w:lang w:eastAsia="ro-RO"/>
              </w:rPr>
              <w:t>p</w:t>
            </w:r>
            <w:r w:rsidR="00CA2209" w:rsidRPr="00B650D9">
              <w:rPr>
                <w:rFonts w:ascii="Times New Roman" w:hAnsi="Times New Roman" w:cs="Times New Roman"/>
                <w:bCs/>
                <w:sz w:val="23"/>
                <w:szCs w:val="23"/>
                <w:lang w:eastAsia="ro-RO"/>
              </w:rPr>
              <w:t>e din ciclul d</w:t>
            </w:r>
            <w:r w:rsidR="00725A1F" w:rsidRPr="00B650D9">
              <w:rPr>
                <w:rFonts w:ascii="Times New Roman" w:hAnsi="Times New Roman" w:cs="Times New Roman"/>
                <w:bCs/>
                <w:sz w:val="23"/>
                <w:szCs w:val="23"/>
                <w:lang w:eastAsia="ro-RO"/>
              </w:rPr>
              <w:t>e</w:t>
            </w:r>
            <w:r w:rsidR="00CA2209" w:rsidRPr="00B650D9">
              <w:rPr>
                <w:rFonts w:ascii="Times New Roman" w:hAnsi="Times New Roman" w:cs="Times New Roman"/>
                <w:bCs/>
                <w:sz w:val="23"/>
                <w:szCs w:val="23"/>
                <w:lang w:eastAsia="ro-RO"/>
              </w:rPr>
              <w:t xml:space="preserve"> </w:t>
            </w:r>
            <w:r w:rsidR="00725A1F" w:rsidRPr="00B650D9">
              <w:rPr>
                <w:rFonts w:ascii="Times New Roman" w:hAnsi="Times New Roman" w:cs="Times New Roman"/>
                <w:bCs/>
                <w:sz w:val="23"/>
                <w:szCs w:val="23"/>
                <w:lang w:eastAsia="ro-RO"/>
              </w:rPr>
              <w:t>viață al programului/proiectelor;</w:t>
            </w:r>
          </w:p>
          <w:p w14:paraId="0F654635" w14:textId="0113E123" w:rsidR="00E512B3" w:rsidRPr="00B650D9" w:rsidRDefault="00F34FAD" w:rsidP="004E2DB8">
            <w:pPr>
              <w:pStyle w:val="ListParagraph"/>
              <w:numPr>
                <w:ilvl w:val="0"/>
                <w:numId w:val="26"/>
              </w:numPr>
              <w:autoSpaceDE w:val="0"/>
              <w:autoSpaceDN w:val="0"/>
              <w:adjustRightInd w:val="0"/>
              <w:spacing w:after="120"/>
              <w:contextualSpacing w:val="0"/>
              <w:jc w:val="both"/>
              <w:rPr>
                <w:rFonts w:ascii="Times New Roman" w:hAnsi="Times New Roman" w:cs="Times New Roman"/>
                <w:bCs/>
                <w:sz w:val="23"/>
                <w:szCs w:val="23"/>
                <w:lang w:eastAsia="ro-RO"/>
              </w:rPr>
            </w:pPr>
            <w:r w:rsidRPr="00B650D9">
              <w:rPr>
                <w:rFonts w:ascii="Times New Roman" w:hAnsi="Times New Roman" w:cs="Times New Roman"/>
                <w:bCs/>
                <w:sz w:val="23"/>
                <w:szCs w:val="23"/>
                <w:lang w:eastAsia="ro-RO"/>
              </w:rPr>
              <w:t>i</w:t>
            </w:r>
            <w:r w:rsidR="00E512B3" w:rsidRPr="00B650D9">
              <w:rPr>
                <w:rFonts w:ascii="Times New Roman" w:hAnsi="Times New Roman" w:cs="Times New Roman"/>
                <w:bCs/>
                <w:sz w:val="23"/>
                <w:szCs w:val="23"/>
                <w:lang w:eastAsia="ro-RO"/>
              </w:rPr>
              <w:t>ntroducerea mecanismului specific de monitorizare bazat pe indicatori de etapă, definiți ca repere cantitative sau calitative față de care este apreciat progresul implementării unui proiect</w:t>
            </w:r>
          </w:p>
          <w:p w14:paraId="32B8B505" w14:textId="74D58C07" w:rsidR="003E715F" w:rsidRPr="00B650D9" w:rsidRDefault="00E512B3" w:rsidP="004E2DB8">
            <w:pPr>
              <w:pStyle w:val="ListParagraph"/>
              <w:numPr>
                <w:ilvl w:val="0"/>
                <w:numId w:val="26"/>
              </w:numPr>
              <w:autoSpaceDE w:val="0"/>
              <w:autoSpaceDN w:val="0"/>
              <w:adjustRightInd w:val="0"/>
              <w:spacing w:after="120"/>
              <w:contextualSpacing w:val="0"/>
              <w:jc w:val="both"/>
              <w:rPr>
                <w:rFonts w:ascii="Times New Roman" w:hAnsi="Times New Roman" w:cs="Times New Roman"/>
                <w:bCs/>
                <w:sz w:val="23"/>
                <w:szCs w:val="23"/>
                <w:lang w:eastAsia="ro-RO"/>
              </w:rPr>
            </w:pPr>
            <w:r w:rsidRPr="00B650D9">
              <w:rPr>
                <w:rFonts w:ascii="Times New Roman" w:hAnsi="Times New Roman" w:cs="Times New Roman"/>
                <w:bCs/>
                <w:sz w:val="23"/>
                <w:szCs w:val="23"/>
                <w:lang w:eastAsia="ro-RO"/>
              </w:rPr>
              <w:t xml:space="preserve"> </w:t>
            </w:r>
            <w:r w:rsidR="00F34FAD" w:rsidRPr="00B650D9">
              <w:rPr>
                <w:rFonts w:ascii="Times New Roman" w:hAnsi="Times New Roman" w:cs="Times New Roman"/>
                <w:bCs/>
                <w:sz w:val="23"/>
                <w:szCs w:val="23"/>
                <w:lang w:eastAsia="ro-RO"/>
              </w:rPr>
              <w:t xml:space="preserve">consolidarea funcției de </w:t>
            </w:r>
            <w:r w:rsidR="003E715F" w:rsidRPr="00B650D9">
              <w:rPr>
                <w:rFonts w:ascii="Times New Roman" w:hAnsi="Times New Roman" w:cs="Times New Roman"/>
                <w:bCs/>
                <w:sz w:val="23"/>
                <w:szCs w:val="23"/>
                <w:lang w:eastAsia="ro-RO"/>
              </w:rPr>
              <w:t>monitorizare</w:t>
            </w:r>
            <w:r w:rsidR="00F34FAD" w:rsidRPr="00B650D9">
              <w:rPr>
                <w:rFonts w:ascii="Times New Roman" w:hAnsi="Times New Roman" w:cs="Times New Roman"/>
                <w:bCs/>
                <w:sz w:val="23"/>
                <w:szCs w:val="23"/>
                <w:lang w:eastAsia="ro-RO"/>
              </w:rPr>
              <w:t xml:space="preserve"> a proiectelor la nivelul autorității de management/organismului intermediar după caz, </w:t>
            </w:r>
            <w:r w:rsidR="009A512F" w:rsidRPr="00B650D9">
              <w:rPr>
                <w:rFonts w:ascii="Times New Roman" w:hAnsi="Times New Roman" w:cs="Times New Roman"/>
                <w:bCs/>
                <w:sz w:val="23"/>
                <w:szCs w:val="23"/>
                <w:lang w:eastAsia="ro-RO"/>
              </w:rPr>
              <w:t xml:space="preserve">elaborarea unui plan de monitorizare, parte a contractului de finanțare, care stabilește o serie de indicatori de etapă </w:t>
            </w:r>
            <w:r w:rsidR="0037569A" w:rsidRPr="00B650D9">
              <w:rPr>
                <w:rFonts w:ascii="Times New Roman" w:hAnsi="Times New Roman" w:cs="Times New Roman"/>
                <w:bCs/>
                <w:sz w:val="23"/>
                <w:szCs w:val="23"/>
                <w:lang w:eastAsia="ro-RO"/>
              </w:rPr>
              <w:t xml:space="preserve">pe </w:t>
            </w:r>
            <w:r w:rsidR="009A512F" w:rsidRPr="00B650D9">
              <w:rPr>
                <w:rFonts w:ascii="Times New Roman" w:hAnsi="Times New Roman" w:cs="Times New Roman"/>
                <w:bCs/>
                <w:sz w:val="23"/>
                <w:szCs w:val="23"/>
                <w:lang w:eastAsia="ro-RO"/>
              </w:rPr>
              <w:t>baza cărora se monitorizează și se evaluează progresul implementării proiectului</w:t>
            </w:r>
            <w:r w:rsidR="003E715F" w:rsidRPr="00B650D9">
              <w:rPr>
                <w:rFonts w:ascii="Times New Roman" w:hAnsi="Times New Roman" w:cs="Times New Roman"/>
                <w:bCs/>
                <w:sz w:val="23"/>
                <w:szCs w:val="23"/>
                <w:lang w:eastAsia="ro-RO"/>
              </w:rPr>
              <w:t>;</w:t>
            </w:r>
          </w:p>
          <w:p w14:paraId="73053F14" w14:textId="755E3EA4" w:rsidR="003E715F" w:rsidRPr="00B650D9" w:rsidRDefault="003E715F" w:rsidP="004E2DB8">
            <w:pPr>
              <w:pStyle w:val="ListParagraph"/>
              <w:numPr>
                <w:ilvl w:val="0"/>
                <w:numId w:val="26"/>
              </w:numPr>
              <w:autoSpaceDE w:val="0"/>
              <w:autoSpaceDN w:val="0"/>
              <w:adjustRightInd w:val="0"/>
              <w:spacing w:after="120"/>
              <w:contextualSpacing w:val="0"/>
              <w:jc w:val="both"/>
              <w:rPr>
                <w:rFonts w:ascii="Times New Roman" w:hAnsi="Times New Roman" w:cs="Times New Roman"/>
                <w:bCs/>
                <w:sz w:val="23"/>
                <w:szCs w:val="23"/>
                <w:lang w:eastAsia="ro-RO"/>
              </w:rPr>
            </w:pPr>
            <w:r w:rsidRPr="00B650D9">
              <w:rPr>
                <w:rFonts w:ascii="Times New Roman" w:hAnsi="Times New Roman" w:cs="Times New Roman"/>
                <w:bCs/>
                <w:sz w:val="23"/>
                <w:szCs w:val="23"/>
                <w:lang w:eastAsia="ro-RO"/>
              </w:rPr>
              <w:t xml:space="preserve">crearea unui cadru de performanță care să asigure o responsabilizare a părților semnatare a proiectelor, astfel încât, în cazul nerespectării repetate a </w:t>
            </w:r>
            <w:r w:rsidR="009A512F" w:rsidRPr="00B650D9">
              <w:rPr>
                <w:rFonts w:ascii="Times New Roman" w:hAnsi="Times New Roman" w:cs="Times New Roman"/>
                <w:bCs/>
                <w:sz w:val="23"/>
                <w:szCs w:val="23"/>
                <w:lang w:eastAsia="ro-RO"/>
              </w:rPr>
              <w:t>indicatorilor de etapă</w:t>
            </w:r>
            <w:r w:rsidRPr="00B650D9">
              <w:rPr>
                <w:rFonts w:ascii="Times New Roman" w:hAnsi="Times New Roman" w:cs="Times New Roman"/>
                <w:bCs/>
                <w:sz w:val="23"/>
                <w:szCs w:val="23"/>
                <w:lang w:eastAsia="ro-RO"/>
              </w:rPr>
              <w:t xml:space="preserve"> și a planului de măsuri de recuperare a întârzierilor</w:t>
            </w:r>
            <w:r w:rsidR="0037569A" w:rsidRPr="00B650D9">
              <w:rPr>
                <w:rFonts w:ascii="Times New Roman" w:hAnsi="Times New Roman" w:cs="Times New Roman"/>
                <w:bCs/>
                <w:sz w:val="23"/>
                <w:szCs w:val="23"/>
                <w:lang w:eastAsia="ro-RO"/>
              </w:rPr>
              <w:t>,</w:t>
            </w:r>
            <w:r w:rsidRPr="00B650D9">
              <w:rPr>
                <w:rFonts w:ascii="Times New Roman" w:hAnsi="Times New Roman" w:cs="Times New Roman"/>
                <w:bCs/>
                <w:sz w:val="23"/>
                <w:szCs w:val="23"/>
                <w:lang w:eastAsia="ro-RO"/>
              </w:rPr>
              <w:t xml:space="preserve"> să se permită rețineri din sumele alocate prin proiect pentru ca în final să conducă  la rezilierea contractelor. Fondurile rămase disponibile după aplicarea reținerilor financiare rămase definitive se realocă prin grija autorității de management pentru proiectele aflate în rezervă sau pentru alte priorități sau către alte acțiuni în cadrul aceleiași priorități, cu respectarea prevederilor legale naționale și europene în vigoare;</w:t>
            </w:r>
          </w:p>
          <w:p w14:paraId="3B960075" w14:textId="3862F18B" w:rsidR="0037569A" w:rsidRPr="00B650D9" w:rsidRDefault="0037569A" w:rsidP="004E2DB8">
            <w:pPr>
              <w:pStyle w:val="ListParagraph"/>
              <w:numPr>
                <w:ilvl w:val="0"/>
                <w:numId w:val="26"/>
              </w:numPr>
              <w:autoSpaceDE w:val="0"/>
              <w:autoSpaceDN w:val="0"/>
              <w:adjustRightInd w:val="0"/>
              <w:spacing w:after="120"/>
              <w:contextualSpacing w:val="0"/>
              <w:jc w:val="both"/>
              <w:rPr>
                <w:rFonts w:ascii="Times New Roman" w:hAnsi="Times New Roman" w:cs="Times New Roman"/>
                <w:bCs/>
                <w:sz w:val="23"/>
                <w:szCs w:val="23"/>
                <w:lang w:eastAsia="ro-RO"/>
              </w:rPr>
            </w:pPr>
            <w:r w:rsidRPr="00B650D9">
              <w:rPr>
                <w:rFonts w:ascii="Times New Roman" w:hAnsi="Times New Roman" w:cs="Times New Roman"/>
                <w:bCs/>
                <w:sz w:val="23"/>
                <w:szCs w:val="23"/>
                <w:lang w:eastAsia="ro-RO"/>
              </w:rPr>
              <w:t>în cadrul procesului de monitorizare a proiectelor, beneficiarul elaborează</w:t>
            </w:r>
            <w:r w:rsidR="001110D7" w:rsidRPr="00B650D9">
              <w:rPr>
                <w:rFonts w:ascii="Times New Roman" w:hAnsi="Times New Roman" w:cs="Times New Roman"/>
                <w:bCs/>
                <w:sz w:val="23"/>
                <w:szCs w:val="23"/>
                <w:lang w:eastAsia="ro-RO"/>
              </w:rPr>
              <w:t>,</w:t>
            </w:r>
            <w:r w:rsidRPr="00B650D9">
              <w:rPr>
                <w:rFonts w:ascii="Times New Roman" w:hAnsi="Times New Roman" w:cs="Times New Roman"/>
                <w:bCs/>
                <w:sz w:val="23"/>
                <w:szCs w:val="23"/>
                <w:lang w:eastAsia="ro-RO"/>
              </w:rPr>
              <w:t xml:space="preserve"> trimestrial</w:t>
            </w:r>
            <w:r w:rsidR="001110D7" w:rsidRPr="00B650D9">
              <w:rPr>
                <w:rFonts w:ascii="Times New Roman" w:hAnsi="Times New Roman" w:cs="Times New Roman"/>
                <w:bCs/>
                <w:sz w:val="23"/>
                <w:szCs w:val="23"/>
                <w:lang w:eastAsia="ro-RO"/>
              </w:rPr>
              <w:t>,</w:t>
            </w:r>
            <w:r w:rsidRPr="00B650D9">
              <w:rPr>
                <w:rFonts w:ascii="Times New Roman" w:hAnsi="Times New Roman" w:cs="Times New Roman"/>
                <w:bCs/>
                <w:sz w:val="23"/>
                <w:szCs w:val="23"/>
                <w:lang w:eastAsia="ro-RO"/>
              </w:rPr>
              <w:t xml:space="preserve"> Rapoarte de progres, iar autoritatea de management/organismul intermediar elaborează  Rapoar</w:t>
            </w:r>
            <w:r w:rsidR="001110D7" w:rsidRPr="00B650D9">
              <w:rPr>
                <w:rFonts w:ascii="Times New Roman" w:hAnsi="Times New Roman" w:cs="Times New Roman"/>
                <w:bCs/>
                <w:sz w:val="23"/>
                <w:szCs w:val="23"/>
                <w:lang w:eastAsia="ro-RO"/>
              </w:rPr>
              <w:t>t</w:t>
            </w:r>
            <w:r w:rsidRPr="00B650D9">
              <w:rPr>
                <w:rFonts w:ascii="Times New Roman" w:hAnsi="Times New Roman" w:cs="Times New Roman"/>
                <w:bCs/>
                <w:sz w:val="23"/>
                <w:szCs w:val="23"/>
                <w:lang w:eastAsia="ro-RO"/>
              </w:rPr>
              <w:t>el</w:t>
            </w:r>
            <w:r w:rsidR="001110D7" w:rsidRPr="00B650D9">
              <w:rPr>
                <w:rFonts w:ascii="Times New Roman" w:hAnsi="Times New Roman" w:cs="Times New Roman"/>
                <w:bCs/>
                <w:sz w:val="23"/>
                <w:szCs w:val="23"/>
                <w:lang w:eastAsia="ro-RO"/>
              </w:rPr>
              <w:t>e</w:t>
            </w:r>
            <w:r w:rsidRPr="00B650D9">
              <w:rPr>
                <w:rFonts w:ascii="Times New Roman" w:hAnsi="Times New Roman" w:cs="Times New Roman"/>
                <w:bCs/>
                <w:sz w:val="23"/>
                <w:szCs w:val="23"/>
                <w:lang w:eastAsia="ro-RO"/>
              </w:rPr>
              <w:t xml:space="preserve"> de vizită la fața locului;</w:t>
            </w:r>
          </w:p>
          <w:p w14:paraId="2B51E04C" w14:textId="70BCA096" w:rsidR="003E715F" w:rsidRPr="00B650D9" w:rsidRDefault="003E715F" w:rsidP="004E2DB8">
            <w:pPr>
              <w:pStyle w:val="ListParagraph"/>
              <w:numPr>
                <w:ilvl w:val="0"/>
                <w:numId w:val="26"/>
              </w:numPr>
              <w:autoSpaceDE w:val="0"/>
              <w:autoSpaceDN w:val="0"/>
              <w:adjustRightInd w:val="0"/>
              <w:spacing w:after="120"/>
              <w:contextualSpacing w:val="0"/>
              <w:jc w:val="both"/>
              <w:rPr>
                <w:rFonts w:ascii="Times New Roman" w:hAnsi="Times New Roman" w:cs="Times New Roman"/>
                <w:bCs/>
                <w:sz w:val="23"/>
                <w:szCs w:val="23"/>
                <w:lang w:eastAsia="ro-RO"/>
              </w:rPr>
            </w:pPr>
            <w:r w:rsidRPr="00B650D9">
              <w:rPr>
                <w:rFonts w:ascii="Times New Roman" w:hAnsi="Times New Roman" w:cs="Times New Roman"/>
                <w:bCs/>
                <w:sz w:val="23"/>
                <w:szCs w:val="23"/>
                <w:lang w:eastAsia="ro-RO"/>
              </w:rPr>
              <w:t xml:space="preserve">stabilirea aspectelor de formă care nu presupun </w:t>
            </w:r>
            <w:r w:rsidR="0037569A" w:rsidRPr="00B650D9">
              <w:rPr>
                <w:rFonts w:ascii="Times New Roman" w:hAnsi="Times New Roman" w:cs="Times New Roman"/>
                <w:bCs/>
                <w:sz w:val="23"/>
                <w:szCs w:val="23"/>
                <w:lang w:eastAsia="ro-RO"/>
              </w:rPr>
              <w:t xml:space="preserve">semnarea unui </w:t>
            </w:r>
            <w:r w:rsidRPr="00B650D9">
              <w:rPr>
                <w:rFonts w:ascii="Times New Roman" w:hAnsi="Times New Roman" w:cs="Times New Roman"/>
                <w:bCs/>
                <w:sz w:val="23"/>
                <w:szCs w:val="23"/>
                <w:lang w:eastAsia="ro-RO"/>
              </w:rPr>
              <w:t>act adițional la contractul de finanțare (proiect) şi care se realizează prin notificare;</w:t>
            </w:r>
          </w:p>
          <w:p w14:paraId="0274888B" w14:textId="77777777" w:rsidR="00DA459C" w:rsidRPr="00B650D9" w:rsidRDefault="003E715F" w:rsidP="004E2DB8">
            <w:pPr>
              <w:pStyle w:val="ListParagraph"/>
              <w:numPr>
                <w:ilvl w:val="0"/>
                <w:numId w:val="26"/>
              </w:numPr>
              <w:autoSpaceDE w:val="0"/>
              <w:autoSpaceDN w:val="0"/>
              <w:adjustRightInd w:val="0"/>
              <w:spacing w:after="120"/>
              <w:contextualSpacing w:val="0"/>
              <w:jc w:val="both"/>
              <w:rPr>
                <w:rFonts w:ascii="Times New Roman" w:hAnsi="Times New Roman" w:cs="Times New Roman"/>
                <w:bCs/>
                <w:sz w:val="23"/>
                <w:szCs w:val="23"/>
                <w:lang w:eastAsia="ro-RO"/>
              </w:rPr>
            </w:pPr>
            <w:r w:rsidRPr="00B650D9">
              <w:rPr>
                <w:rFonts w:ascii="Times New Roman" w:hAnsi="Times New Roman" w:cs="Times New Roman"/>
                <w:bCs/>
                <w:sz w:val="23"/>
                <w:szCs w:val="23"/>
                <w:lang w:eastAsia="ro-RO"/>
              </w:rPr>
              <w:lastRenderedPageBreak/>
              <w:t>obligativitatea elaborării Manualului Beneficiarului</w:t>
            </w:r>
            <w:r w:rsidR="0037569A" w:rsidRPr="00B650D9">
              <w:rPr>
                <w:rFonts w:ascii="Times New Roman" w:hAnsi="Times New Roman" w:cs="Times New Roman"/>
                <w:bCs/>
                <w:sz w:val="23"/>
                <w:szCs w:val="23"/>
                <w:lang w:eastAsia="ro-RO"/>
              </w:rPr>
              <w:t xml:space="preserve"> care să includă prevederi explicite, inclusiv etape, documente și orice informație necesară beneficiarului în relația cu autoritatea de management/organismul intermediar, inclusiv în ceea ce privește managementul financiar, monitorizare, verificarea, autorizarea și rambursarea cheltuielilor, atât pentru perioada de implementare, cât și pentru perioada de durabilitate</w:t>
            </w:r>
            <w:r w:rsidR="00DA459C" w:rsidRPr="00B650D9">
              <w:rPr>
                <w:rFonts w:ascii="Times New Roman" w:hAnsi="Times New Roman" w:cs="Times New Roman"/>
                <w:bCs/>
                <w:sz w:val="23"/>
                <w:szCs w:val="23"/>
                <w:lang w:eastAsia="ro-RO"/>
              </w:rPr>
              <w:t xml:space="preserve">; </w:t>
            </w:r>
          </w:p>
          <w:p w14:paraId="7F168B2A" w14:textId="0416A601" w:rsidR="003E715F" w:rsidRPr="00B650D9" w:rsidRDefault="00DA459C" w:rsidP="004E2DB8">
            <w:pPr>
              <w:pStyle w:val="ListParagraph"/>
              <w:numPr>
                <w:ilvl w:val="0"/>
                <w:numId w:val="26"/>
              </w:numPr>
              <w:autoSpaceDE w:val="0"/>
              <w:autoSpaceDN w:val="0"/>
              <w:adjustRightInd w:val="0"/>
              <w:spacing w:after="120"/>
              <w:contextualSpacing w:val="0"/>
              <w:jc w:val="both"/>
              <w:rPr>
                <w:rFonts w:ascii="Times New Roman" w:hAnsi="Times New Roman" w:cs="Times New Roman"/>
                <w:bCs/>
                <w:sz w:val="23"/>
                <w:szCs w:val="23"/>
                <w:lang w:eastAsia="ro-RO"/>
              </w:rPr>
            </w:pPr>
            <w:r w:rsidRPr="00B650D9">
              <w:rPr>
                <w:rFonts w:ascii="Times New Roman" w:hAnsi="Times New Roman" w:cs="Times New Roman"/>
                <w:bCs/>
                <w:sz w:val="23"/>
                <w:szCs w:val="23"/>
                <w:lang w:eastAsia="ro-RO"/>
              </w:rPr>
              <w:t>accelerarea implementării și valorificării măsurilor de interoperabilitate și colaborare între autorități pentru creșterea eficienței și simplificării activităților de verificare a condițiilor  de eligibilitate, prin schimbul de informații între autorități, cu efecte pozitive în ceea ce privește reducerea sarcinii administrative a solicitanților de fonduri în etapa de evaluare, selecție și contractare a proiectelor</w:t>
            </w:r>
            <w:r w:rsidR="00DE05E6" w:rsidRPr="00B650D9">
              <w:rPr>
                <w:rFonts w:ascii="Times New Roman" w:hAnsi="Times New Roman" w:cs="Times New Roman"/>
                <w:bCs/>
                <w:sz w:val="23"/>
                <w:szCs w:val="23"/>
                <w:lang w:eastAsia="ro-RO"/>
              </w:rPr>
              <w:t>.</w:t>
            </w:r>
          </w:p>
          <w:p w14:paraId="6901C8D5" w14:textId="2EDD0E0E" w:rsidR="00AE2026" w:rsidRPr="00B650D9" w:rsidRDefault="0037569A" w:rsidP="00AE2026">
            <w:pPr>
              <w:autoSpaceDE w:val="0"/>
              <w:autoSpaceDN w:val="0"/>
              <w:adjustRightInd w:val="0"/>
              <w:spacing w:after="120"/>
              <w:ind w:left="360"/>
              <w:jc w:val="both"/>
              <w:rPr>
                <w:bCs/>
                <w:sz w:val="23"/>
                <w:szCs w:val="23"/>
                <w:lang w:eastAsia="ro-RO"/>
              </w:rPr>
            </w:pPr>
            <w:r w:rsidRPr="00B650D9">
              <w:rPr>
                <w:bCs/>
                <w:sz w:val="23"/>
                <w:szCs w:val="23"/>
                <w:lang w:eastAsia="ro-RO"/>
              </w:rPr>
              <w:t>Suplimentar celor de mai sus, proiectul de act normativ include prevederi legate de autorizarea și plata cheltuielilor, costuri simplificate.</w:t>
            </w:r>
          </w:p>
          <w:p w14:paraId="5A4EBDAD" w14:textId="0F199E57" w:rsidR="00AE2026" w:rsidRPr="00B650D9" w:rsidRDefault="00AE2026" w:rsidP="00AE2026">
            <w:pPr>
              <w:autoSpaceDE w:val="0"/>
              <w:autoSpaceDN w:val="0"/>
              <w:adjustRightInd w:val="0"/>
              <w:spacing w:after="120"/>
              <w:ind w:left="360"/>
              <w:jc w:val="both"/>
              <w:rPr>
                <w:bCs/>
                <w:sz w:val="23"/>
                <w:szCs w:val="23"/>
                <w:lang w:eastAsia="ro-RO"/>
              </w:rPr>
            </w:pPr>
            <w:r w:rsidRPr="00B650D9">
              <w:rPr>
                <w:bCs/>
                <w:sz w:val="23"/>
                <w:szCs w:val="23"/>
                <w:lang w:eastAsia="ro-RO"/>
              </w:rPr>
              <w:t xml:space="preserve">Prin promovarea actului normativ sunt </w:t>
            </w:r>
            <w:r w:rsidR="009274A5" w:rsidRPr="00B650D9">
              <w:rPr>
                <w:bCs/>
                <w:sz w:val="23"/>
                <w:szCs w:val="23"/>
                <w:lang w:eastAsia="ro-RO"/>
              </w:rPr>
              <w:t>instituite</w:t>
            </w:r>
            <w:r w:rsidRPr="00B650D9">
              <w:rPr>
                <w:bCs/>
                <w:sz w:val="23"/>
                <w:szCs w:val="23"/>
                <w:lang w:eastAsia="ro-RO"/>
              </w:rPr>
              <w:t xml:space="preserve"> măsuri </w:t>
            </w:r>
            <w:r w:rsidR="00296F87" w:rsidRPr="00B650D9">
              <w:rPr>
                <w:bCs/>
                <w:sz w:val="23"/>
                <w:szCs w:val="23"/>
                <w:lang w:eastAsia="ro-RO"/>
              </w:rPr>
              <w:t xml:space="preserve">pentru </w:t>
            </w:r>
            <w:r w:rsidRPr="00B650D9">
              <w:rPr>
                <w:bCs/>
                <w:sz w:val="23"/>
                <w:szCs w:val="23"/>
                <w:lang w:eastAsia="ro-RO"/>
              </w:rPr>
              <w:t>integrarea lecțiilor învățate din perioada anterioară de programare 2014-2020, precum măsuri noi în vederea simplificării, reducerii sarcinii administrative,</w:t>
            </w:r>
            <w:r w:rsidR="00296F87" w:rsidRPr="00B650D9">
              <w:rPr>
                <w:bCs/>
                <w:sz w:val="23"/>
                <w:szCs w:val="23"/>
                <w:lang w:eastAsia="ro-RO"/>
              </w:rPr>
              <w:t xml:space="preserve"> </w:t>
            </w:r>
            <w:r w:rsidRPr="00B650D9">
              <w:rPr>
                <w:bCs/>
                <w:sz w:val="23"/>
                <w:szCs w:val="23"/>
                <w:lang w:eastAsia="ro-RO"/>
              </w:rPr>
              <w:t xml:space="preserve">dar și consolidarea capacității autorităților de management de implementare și gestiune a programelor în perioada 2021-2027 în vederea unei absorbții ridicate a fondurilor europene alocate României </w:t>
            </w:r>
            <w:r w:rsidR="00CF3C98" w:rsidRPr="00B650D9">
              <w:rPr>
                <w:bCs/>
                <w:sz w:val="23"/>
                <w:szCs w:val="23"/>
                <w:lang w:eastAsia="ro-RO"/>
              </w:rPr>
              <w:t>d</w:t>
            </w:r>
            <w:r w:rsidRPr="00B650D9">
              <w:rPr>
                <w:bCs/>
                <w:sz w:val="23"/>
                <w:szCs w:val="23"/>
                <w:lang w:eastAsia="ro-RO"/>
              </w:rPr>
              <w:t xml:space="preserve">in </w:t>
            </w:r>
            <w:r w:rsidRPr="00B650D9">
              <w:rPr>
                <w:rFonts w:eastAsiaTheme="minorHAnsi"/>
                <w:bCs/>
                <w:sz w:val="23"/>
                <w:szCs w:val="23"/>
                <w:lang w:eastAsia="ro-RO"/>
              </w:rPr>
              <w:t xml:space="preserve">Fondul european de dezvoltare regională, Fondul social european Plus, Fondul de coeziune, Fondul pentru o tranziție justă </w:t>
            </w:r>
            <w:r w:rsidR="00715B08" w:rsidRPr="00B650D9">
              <w:rPr>
                <w:rFonts w:eastAsiaTheme="minorHAnsi"/>
                <w:bCs/>
                <w:sz w:val="23"/>
                <w:szCs w:val="23"/>
                <w:lang w:eastAsia="ro-RO"/>
              </w:rPr>
              <w:t xml:space="preserve">în cadrul obiectivului ”Investiții pentru ocuparea forței de muncă și creștere economică”. </w:t>
            </w:r>
          </w:p>
          <w:p w14:paraId="6BA2144B" w14:textId="77777777" w:rsidR="003A5F31" w:rsidRPr="00B650D9" w:rsidRDefault="003E715F" w:rsidP="003A5F31">
            <w:pPr>
              <w:autoSpaceDE w:val="0"/>
              <w:autoSpaceDN w:val="0"/>
              <w:adjustRightInd w:val="0"/>
              <w:spacing w:after="120"/>
              <w:ind w:left="360"/>
              <w:jc w:val="both"/>
              <w:rPr>
                <w:bCs/>
                <w:sz w:val="23"/>
                <w:szCs w:val="23"/>
                <w:lang w:eastAsia="ro-RO"/>
              </w:rPr>
            </w:pPr>
            <w:r w:rsidRPr="00B650D9">
              <w:rPr>
                <w:bCs/>
                <w:sz w:val="23"/>
                <w:szCs w:val="23"/>
                <w:lang w:eastAsia="ro-RO"/>
              </w:rPr>
              <w:t>Scopul actului normativ este asigurarea accesului facil, transparent, nediscriminatoriu, competitiv și simplificat la fondurile europene, cu respectarea prevederilor Regulamentului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w:t>
            </w:r>
            <w:r w:rsidR="00BE5901" w:rsidRPr="00B650D9">
              <w:rPr>
                <w:bCs/>
                <w:sz w:val="23"/>
                <w:szCs w:val="23"/>
                <w:lang w:eastAsia="ro-RO"/>
              </w:rPr>
              <w:t>rontierelor și politica de vize</w:t>
            </w:r>
          </w:p>
          <w:p w14:paraId="107A94EF" w14:textId="346040C8" w:rsidR="001110D7" w:rsidRPr="00B650D9" w:rsidRDefault="003A5F31" w:rsidP="003A5F31">
            <w:pPr>
              <w:autoSpaceDE w:val="0"/>
              <w:autoSpaceDN w:val="0"/>
              <w:adjustRightInd w:val="0"/>
              <w:spacing w:after="120"/>
              <w:ind w:left="360"/>
              <w:jc w:val="both"/>
              <w:rPr>
                <w:bCs/>
                <w:sz w:val="23"/>
                <w:szCs w:val="23"/>
                <w:lang w:eastAsia="ro-RO"/>
              </w:rPr>
            </w:pPr>
            <w:r w:rsidRPr="00B650D9">
              <w:rPr>
                <w:bCs/>
                <w:sz w:val="23"/>
                <w:szCs w:val="23"/>
                <w:lang w:eastAsia="ro-RO"/>
              </w:rPr>
              <w:t>Î</w:t>
            </w:r>
            <w:r w:rsidR="003E715F" w:rsidRPr="00B650D9">
              <w:rPr>
                <w:bCs/>
                <w:sz w:val="23"/>
                <w:szCs w:val="23"/>
                <w:lang w:eastAsia="ro-RO"/>
              </w:rPr>
              <w:t xml:space="preserve">n cazul în care aceste măsuri nu se vor implementa încă de la începutul implementării perioadei 2021-2027 se vor înregistra următoarele </w:t>
            </w:r>
            <w:r w:rsidR="001110D7" w:rsidRPr="00B650D9">
              <w:rPr>
                <w:bCs/>
                <w:sz w:val="23"/>
                <w:szCs w:val="23"/>
                <w:lang w:eastAsia="ro-RO"/>
              </w:rPr>
              <w:t xml:space="preserve">consecințe, cu </w:t>
            </w:r>
            <w:r w:rsidR="003E715F" w:rsidRPr="00B650D9">
              <w:rPr>
                <w:bCs/>
                <w:sz w:val="23"/>
                <w:szCs w:val="23"/>
                <w:lang w:eastAsia="ro-RO"/>
              </w:rPr>
              <w:t xml:space="preserve">efecte </w:t>
            </w:r>
            <w:r w:rsidR="001110D7" w:rsidRPr="00B650D9">
              <w:rPr>
                <w:bCs/>
                <w:sz w:val="23"/>
                <w:szCs w:val="23"/>
                <w:lang w:eastAsia="ro-RO"/>
              </w:rPr>
              <w:t>negative asupra absorbției și utilizării fondurilor externe nerambursabile alocate prin politica de coeziune 2021 – 2027</w:t>
            </w:r>
            <w:r w:rsidR="00BE5901" w:rsidRPr="00B650D9">
              <w:rPr>
                <w:bCs/>
                <w:sz w:val="23"/>
                <w:szCs w:val="23"/>
                <w:lang w:eastAsia="ro-RO"/>
              </w:rPr>
              <w:t xml:space="preserve">: </w:t>
            </w:r>
            <w:r w:rsidR="001110D7" w:rsidRPr="00B650D9">
              <w:rPr>
                <w:bCs/>
                <w:sz w:val="23"/>
                <w:szCs w:val="23"/>
                <w:lang w:eastAsia="ro-RO"/>
              </w:rPr>
              <w:t xml:space="preserve"> </w:t>
            </w:r>
          </w:p>
          <w:p w14:paraId="01B2751E" w14:textId="74346302" w:rsidR="003E715F" w:rsidRPr="00B650D9" w:rsidRDefault="003E715F" w:rsidP="00BE5901">
            <w:pPr>
              <w:pStyle w:val="ListParagraph"/>
              <w:numPr>
                <w:ilvl w:val="0"/>
                <w:numId w:val="28"/>
              </w:numPr>
              <w:autoSpaceDE w:val="0"/>
              <w:autoSpaceDN w:val="0"/>
              <w:adjustRightInd w:val="0"/>
              <w:spacing w:after="120"/>
              <w:jc w:val="both"/>
              <w:rPr>
                <w:rFonts w:ascii="Times New Roman" w:hAnsi="Times New Roman" w:cs="Times New Roman"/>
                <w:bCs/>
                <w:sz w:val="23"/>
                <w:szCs w:val="23"/>
                <w:lang w:eastAsia="ro-RO"/>
              </w:rPr>
            </w:pPr>
            <w:r w:rsidRPr="00B650D9">
              <w:rPr>
                <w:rFonts w:ascii="Times New Roman" w:hAnsi="Times New Roman" w:cs="Times New Roman"/>
                <w:bCs/>
                <w:sz w:val="23"/>
                <w:szCs w:val="23"/>
                <w:lang w:eastAsia="ro-RO"/>
              </w:rPr>
              <w:t xml:space="preserve">având în vedere </w:t>
            </w:r>
            <w:r w:rsidR="001110D7" w:rsidRPr="00B650D9">
              <w:rPr>
                <w:rFonts w:ascii="Times New Roman" w:hAnsi="Times New Roman" w:cs="Times New Roman"/>
                <w:bCs/>
                <w:sz w:val="23"/>
                <w:szCs w:val="23"/>
                <w:lang w:eastAsia="ro-RO"/>
              </w:rPr>
              <w:t>un valoarea totală a alocărilor</w:t>
            </w:r>
            <w:r w:rsidR="00E063B3" w:rsidRPr="00B650D9">
              <w:rPr>
                <w:rFonts w:ascii="Times New Roman" w:hAnsi="Times New Roman" w:cs="Times New Roman"/>
                <w:bCs/>
                <w:sz w:val="23"/>
                <w:szCs w:val="23"/>
                <w:lang w:eastAsia="ro-RO"/>
              </w:rPr>
              <w:t>, un volum al fondurilor europene aproape dublu față</w:t>
            </w:r>
            <w:r w:rsidR="00BB33A6" w:rsidRPr="00B650D9">
              <w:rPr>
                <w:rFonts w:ascii="Times New Roman" w:hAnsi="Times New Roman" w:cs="Times New Roman"/>
                <w:bCs/>
                <w:sz w:val="23"/>
                <w:szCs w:val="23"/>
                <w:lang w:eastAsia="ro-RO"/>
              </w:rPr>
              <w:t xml:space="preserve"> </w:t>
            </w:r>
            <w:r w:rsidR="00E063B3" w:rsidRPr="00B650D9">
              <w:rPr>
                <w:rFonts w:ascii="Times New Roman" w:hAnsi="Times New Roman" w:cs="Times New Roman"/>
                <w:bCs/>
                <w:sz w:val="23"/>
                <w:szCs w:val="23"/>
                <w:lang w:eastAsia="ro-RO"/>
              </w:rPr>
              <w:t xml:space="preserve">de perioada 2014-2020 </w:t>
            </w:r>
            <w:r w:rsidRPr="00B650D9">
              <w:rPr>
                <w:rFonts w:ascii="Times New Roman" w:hAnsi="Times New Roman" w:cs="Times New Roman"/>
                <w:bCs/>
                <w:sz w:val="23"/>
                <w:szCs w:val="23"/>
                <w:lang w:eastAsia="ro-RO"/>
              </w:rPr>
              <w:t>și</w:t>
            </w:r>
            <w:r w:rsidR="00E063B3" w:rsidRPr="00B650D9">
              <w:rPr>
                <w:rFonts w:ascii="Times New Roman" w:hAnsi="Times New Roman" w:cs="Times New Roman"/>
                <w:bCs/>
                <w:sz w:val="23"/>
                <w:szCs w:val="23"/>
                <w:lang w:eastAsia="ro-RO"/>
              </w:rPr>
              <w:t xml:space="preserve"> dat fiind că perioada de programare 2021-2027 reprezintă </w:t>
            </w:r>
            <w:r w:rsidRPr="00B650D9">
              <w:rPr>
                <w:rFonts w:ascii="Times New Roman" w:hAnsi="Times New Roman" w:cs="Times New Roman"/>
                <w:bCs/>
                <w:sz w:val="23"/>
                <w:szCs w:val="23"/>
                <w:lang w:eastAsia="ro-RO"/>
              </w:rPr>
              <w:t xml:space="preserve">primul exercițiu </w:t>
            </w:r>
            <w:r w:rsidR="00BE5901" w:rsidRPr="00B650D9">
              <w:rPr>
                <w:rFonts w:ascii="Times New Roman" w:hAnsi="Times New Roman" w:cs="Times New Roman"/>
                <w:bCs/>
                <w:sz w:val="23"/>
                <w:szCs w:val="23"/>
                <w:lang w:eastAsia="ro-RO"/>
              </w:rPr>
              <w:t xml:space="preserve">de gestionare </w:t>
            </w:r>
            <w:r w:rsidR="00E063B3" w:rsidRPr="00B650D9">
              <w:rPr>
                <w:rFonts w:ascii="Times New Roman" w:hAnsi="Times New Roman" w:cs="Times New Roman"/>
                <w:bCs/>
                <w:sz w:val="23"/>
                <w:szCs w:val="23"/>
                <w:lang w:eastAsia="ro-RO"/>
              </w:rPr>
              <w:t>de</w:t>
            </w:r>
            <w:r w:rsidRPr="00B650D9">
              <w:rPr>
                <w:rFonts w:ascii="Times New Roman" w:hAnsi="Times New Roman" w:cs="Times New Roman"/>
                <w:bCs/>
                <w:sz w:val="23"/>
                <w:szCs w:val="23"/>
                <w:lang w:eastAsia="ro-RO"/>
              </w:rPr>
              <w:t xml:space="preserve">scentralizată </w:t>
            </w:r>
            <w:r w:rsidR="00E063B3" w:rsidRPr="00B650D9">
              <w:rPr>
                <w:rFonts w:ascii="Times New Roman" w:hAnsi="Times New Roman" w:cs="Times New Roman"/>
                <w:bCs/>
                <w:sz w:val="23"/>
                <w:szCs w:val="23"/>
                <w:lang w:eastAsia="ro-RO"/>
              </w:rPr>
              <w:t>a</w:t>
            </w:r>
            <w:r w:rsidR="00BE5901" w:rsidRPr="00B650D9">
              <w:rPr>
                <w:rFonts w:ascii="Times New Roman" w:hAnsi="Times New Roman" w:cs="Times New Roman"/>
                <w:bCs/>
                <w:sz w:val="23"/>
                <w:szCs w:val="23"/>
                <w:lang w:eastAsia="ro-RO"/>
              </w:rPr>
              <w:t xml:space="preserve"> 8 din cele 16 programe  aprobate, </w:t>
            </w:r>
            <w:r w:rsidRPr="00B650D9">
              <w:rPr>
                <w:rFonts w:ascii="Times New Roman" w:hAnsi="Times New Roman" w:cs="Times New Roman"/>
                <w:bCs/>
                <w:sz w:val="23"/>
                <w:szCs w:val="23"/>
                <w:lang w:eastAsia="ro-RO"/>
              </w:rPr>
              <w:t>există riscul unei abordări neunitare care o să afecteze ritmul de absorbție a fondurilor</w:t>
            </w:r>
            <w:r w:rsidR="00254620" w:rsidRPr="00B650D9">
              <w:rPr>
                <w:rFonts w:ascii="Times New Roman" w:hAnsi="Times New Roman" w:cs="Times New Roman"/>
                <w:bCs/>
                <w:sz w:val="23"/>
                <w:szCs w:val="23"/>
                <w:lang w:eastAsia="ro-RO"/>
              </w:rPr>
              <w:t xml:space="preserve">, precum și riscul </w:t>
            </w:r>
            <w:r w:rsidR="00296F87" w:rsidRPr="00B650D9">
              <w:rPr>
                <w:rFonts w:ascii="Times New Roman" w:hAnsi="Times New Roman" w:cs="Times New Roman"/>
                <w:bCs/>
                <w:sz w:val="23"/>
                <w:szCs w:val="23"/>
                <w:lang w:eastAsia="ro-RO"/>
              </w:rPr>
              <w:t>unei rate ridicate de eroare și de creștere a incidenței neregulilor</w:t>
            </w:r>
            <w:r w:rsidRPr="00B650D9">
              <w:rPr>
                <w:rFonts w:ascii="Times New Roman" w:hAnsi="Times New Roman" w:cs="Times New Roman"/>
                <w:bCs/>
                <w:sz w:val="23"/>
                <w:szCs w:val="23"/>
                <w:lang w:eastAsia="ro-RO"/>
              </w:rPr>
              <w:t>;</w:t>
            </w:r>
          </w:p>
          <w:p w14:paraId="3643AC7B" w14:textId="3F726995" w:rsidR="003E715F" w:rsidRPr="00B650D9" w:rsidRDefault="003E715F" w:rsidP="004E2DB8">
            <w:pPr>
              <w:pStyle w:val="ListParagraph"/>
              <w:numPr>
                <w:ilvl w:val="0"/>
                <w:numId w:val="26"/>
              </w:numPr>
              <w:autoSpaceDE w:val="0"/>
              <w:autoSpaceDN w:val="0"/>
              <w:adjustRightInd w:val="0"/>
              <w:spacing w:after="120"/>
              <w:contextualSpacing w:val="0"/>
              <w:jc w:val="both"/>
              <w:rPr>
                <w:rFonts w:ascii="Times New Roman" w:hAnsi="Times New Roman" w:cs="Times New Roman"/>
                <w:bCs/>
                <w:sz w:val="23"/>
                <w:szCs w:val="23"/>
                <w:lang w:eastAsia="ro-RO"/>
              </w:rPr>
            </w:pPr>
            <w:r w:rsidRPr="00B650D9">
              <w:rPr>
                <w:rFonts w:ascii="Times New Roman" w:hAnsi="Times New Roman" w:cs="Times New Roman"/>
                <w:bCs/>
                <w:sz w:val="23"/>
                <w:szCs w:val="23"/>
                <w:lang w:eastAsia="ro-RO"/>
              </w:rPr>
              <w:t>beneficiarii vor trebui să respecte reguli diferite de la un program la altul atunci când vor depune proiecte la nivel de program național și/sau program regional</w:t>
            </w:r>
            <w:r w:rsidR="00BE5901" w:rsidRPr="00B650D9">
              <w:rPr>
                <w:rFonts w:ascii="Times New Roman" w:hAnsi="Times New Roman" w:cs="Times New Roman"/>
                <w:bCs/>
                <w:sz w:val="23"/>
                <w:szCs w:val="23"/>
                <w:lang w:eastAsia="ro-RO"/>
              </w:rPr>
              <w:t xml:space="preserve">, cea ce va crea </w:t>
            </w:r>
            <w:r w:rsidR="00506BA5" w:rsidRPr="00B650D9">
              <w:rPr>
                <w:rFonts w:ascii="Times New Roman" w:hAnsi="Times New Roman" w:cs="Times New Roman"/>
                <w:bCs/>
                <w:sz w:val="23"/>
                <w:szCs w:val="23"/>
                <w:lang w:eastAsia="ro-RO"/>
              </w:rPr>
              <w:t>sarcini administrative suplimentare pentru entitățile care pot beneficiar de finanțare în cadrul mai multor programe și va afecta, de asemenea, ritmul de absorbție al fondurilor</w:t>
            </w:r>
            <w:r w:rsidR="00296F87" w:rsidRPr="00B650D9">
              <w:rPr>
                <w:rFonts w:ascii="Times New Roman" w:hAnsi="Times New Roman" w:cs="Times New Roman"/>
                <w:bCs/>
                <w:sz w:val="23"/>
                <w:szCs w:val="23"/>
                <w:lang w:eastAsia="ro-RO"/>
              </w:rPr>
              <w:t>, va crește riscul de eroare și de neconformare al beneficiarilor care poate conduce la corecții</w:t>
            </w:r>
            <w:r w:rsidRPr="00B650D9">
              <w:rPr>
                <w:rFonts w:ascii="Times New Roman" w:hAnsi="Times New Roman" w:cs="Times New Roman"/>
                <w:bCs/>
                <w:sz w:val="23"/>
                <w:szCs w:val="23"/>
                <w:lang w:eastAsia="ro-RO"/>
              </w:rPr>
              <w:t>;</w:t>
            </w:r>
          </w:p>
          <w:p w14:paraId="6384CB2E" w14:textId="1E231495" w:rsidR="00AE2026" w:rsidRPr="00B650D9" w:rsidRDefault="003E715F" w:rsidP="00AE2026">
            <w:pPr>
              <w:pStyle w:val="ListParagraph"/>
              <w:numPr>
                <w:ilvl w:val="0"/>
                <w:numId w:val="26"/>
              </w:numPr>
              <w:autoSpaceDE w:val="0"/>
              <w:autoSpaceDN w:val="0"/>
              <w:adjustRightInd w:val="0"/>
              <w:spacing w:after="120"/>
              <w:contextualSpacing w:val="0"/>
              <w:jc w:val="both"/>
              <w:rPr>
                <w:rFonts w:ascii="Times New Roman" w:hAnsi="Times New Roman" w:cs="Times New Roman"/>
                <w:bCs/>
                <w:sz w:val="23"/>
                <w:szCs w:val="23"/>
                <w:lang w:eastAsia="ro-RO"/>
              </w:rPr>
            </w:pPr>
            <w:r w:rsidRPr="00B650D9">
              <w:rPr>
                <w:rFonts w:ascii="Times New Roman" w:hAnsi="Times New Roman" w:cs="Times New Roman"/>
                <w:bCs/>
                <w:sz w:val="23"/>
                <w:szCs w:val="23"/>
                <w:lang w:eastAsia="ro-RO"/>
              </w:rPr>
              <w:t>diferitele sisteme de management și control ar putea să îngreuneze procesu</w:t>
            </w:r>
            <w:r w:rsidR="003A5F31" w:rsidRPr="00B650D9">
              <w:rPr>
                <w:rFonts w:ascii="Times New Roman" w:hAnsi="Times New Roman" w:cs="Times New Roman"/>
                <w:bCs/>
                <w:sz w:val="23"/>
                <w:szCs w:val="23"/>
                <w:lang w:eastAsia="ro-RO"/>
              </w:rPr>
              <w:t>l de implementare a proiectelor finanț</w:t>
            </w:r>
            <w:r w:rsidR="00AE2026" w:rsidRPr="00B650D9">
              <w:rPr>
                <w:rFonts w:ascii="Times New Roman" w:hAnsi="Times New Roman" w:cs="Times New Roman"/>
                <w:bCs/>
                <w:sz w:val="23"/>
                <w:szCs w:val="23"/>
                <w:lang w:eastAsia="ro-RO"/>
              </w:rPr>
              <w:t>ate în cadrul celor 16 programe;</w:t>
            </w:r>
          </w:p>
          <w:p w14:paraId="42D94D54" w14:textId="4AD014F8" w:rsidR="00AE2026" w:rsidRPr="00B650D9" w:rsidRDefault="00AE2026" w:rsidP="00AE2026">
            <w:pPr>
              <w:pStyle w:val="ListParagraph"/>
              <w:numPr>
                <w:ilvl w:val="0"/>
                <w:numId w:val="26"/>
              </w:numPr>
              <w:autoSpaceDE w:val="0"/>
              <w:autoSpaceDN w:val="0"/>
              <w:adjustRightInd w:val="0"/>
              <w:spacing w:after="120"/>
              <w:contextualSpacing w:val="0"/>
              <w:jc w:val="both"/>
              <w:rPr>
                <w:rFonts w:ascii="Times New Roman" w:hAnsi="Times New Roman" w:cs="Times New Roman"/>
                <w:bCs/>
                <w:sz w:val="23"/>
                <w:szCs w:val="23"/>
                <w:lang w:eastAsia="ro-RO"/>
              </w:rPr>
            </w:pPr>
            <w:r w:rsidRPr="00B650D9">
              <w:rPr>
                <w:rFonts w:ascii="Times New Roman" w:hAnsi="Times New Roman" w:cs="Times New Roman"/>
                <w:bCs/>
                <w:sz w:val="23"/>
                <w:szCs w:val="23"/>
                <w:lang w:eastAsia="ro-RO"/>
              </w:rPr>
              <w:t>menținerea sarcinii administrative ridicate și a multiplicarea verificărilor la nivelul autoritățilo</w:t>
            </w:r>
            <w:r w:rsidR="00296F87" w:rsidRPr="00B650D9">
              <w:rPr>
                <w:rFonts w:ascii="Times New Roman" w:hAnsi="Times New Roman" w:cs="Times New Roman"/>
                <w:bCs/>
                <w:sz w:val="23"/>
                <w:szCs w:val="23"/>
                <w:lang w:eastAsia="ro-RO"/>
              </w:rPr>
              <w:t xml:space="preserve">r de management care vor genera întârzieri în implementarea programelor și absorbția fondurilor. </w:t>
            </w:r>
          </w:p>
          <w:p w14:paraId="1D6C9104" w14:textId="667ABBB8" w:rsidR="007A62B4" w:rsidRPr="00B650D9" w:rsidRDefault="00296F87" w:rsidP="00296F87">
            <w:pPr>
              <w:autoSpaceDE w:val="0"/>
              <w:autoSpaceDN w:val="0"/>
              <w:adjustRightInd w:val="0"/>
              <w:spacing w:after="120"/>
              <w:jc w:val="both"/>
              <w:rPr>
                <w:bCs/>
                <w:sz w:val="23"/>
                <w:szCs w:val="23"/>
                <w:lang w:eastAsia="ro-RO"/>
              </w:rPr>
            </w:pPr>
            <w:r w:rsidRPr="00B650D9">
              <w:rPr>
                <w:bCs/>
                <w:sz w:val="23"/>
                <w:szCs w:val="23"/>
                <w:lang w:eastAsia="ro-RO"/>
              </w:rPr>
              <w:lastRenderedPageBreak/>
              <w:t>Adoptarea</w:t>
            </w:r>
            <w:r w:rsidR="007A62B4" w:rsidRPr="00B650D9">
              <w:rPr>
                <w:bCs/>
                <w:sz w:val="23"/>
                <w:szCs w:val="23"/>
                <w:lang w:eastAsia="ro-RO"/>
              </w:rPr>
              <w:t xml:space="preserve"> cu întârziere a </w:t>
            </w:r>
            <w:r w:rsidRPr="00B650D9">
              <w:rPr>
                <w:bCs/>
                <w:sz w:val="23"/>
                <w:szCs w:val="23"/>
                <w:lang w:eastAsia="ro-RO"/>
              </w:rPr>
              <w:t xml:space="preserve">actului normativ </w:t>
            </w:r>
            <w:r w:rsidR="007A62B4" w:rsidRPr="00B650D9">
              <w:rPr>
                <w:bCs/>
                <w:sz w:val="23"/>
                <w:szCs w:val="23"/>
                <w:lang w:eastAsia="ro-RO"/>
              </w:rPr>
              <w:t xml:space="preserve">afectează substanțial dezvoltarea și operaționalizarea funcționalităților sistemului informatic </w:t>
            </w:r>
            <w:r w:rsidR="007A62B4" w:rsidRPr="00B650D9">
              <w:rPr>
                <w:sz w:val="23"/>
                <w:szCs w:val="23"/>
              </w:rPr>
              <w:t xml:space="preserve">MySMIS2021/SMIS2021+ care condiționează demararea implementării programelor finanțate </w:t>
            </w:r>
            <w:r w:rsidR="00CF3C98" w:rsidRPr="00B650D9">
              <w:rPr>
                <w:rFonts w:eastAsiaTheme="minorHAnsi"/>
                <w:bCs/>
                <w:sz w:val="23"/>
                <w:szCs w:val="23"/>
                <w:lang w:eastAsia="ro-RO"/>
              </w:rPr>
              <w:t xml:space="preserve">Fondul european de dezvoltare regională, Fondul social european Plus, Fondul de coeziune, Fondul pentru o tranziție justă în cadrul obiectivului ”Investiții pentru ocuparea forței de muncă și creștere economică”. </w:t>
            </w:r>
          </w:p>
          <w:p w14:paraId="2AB3B04E" w14:textId="7CB1BA8B" w:rsidR="00223491" w:rsidRPr="00B650D9" w:rsidRDefault="00223491" w:rsidP="004E2DB8">
            <w:pPr>
              <w:autoSpaceDE w:val="0"/>
              <w:autoSpaceDN w:val="0"/>
              <w:adjustRightInd w:val="0"/>
              <w:spacing w:after="120"/>
              <w:jc w:val="both"/>
              <w:rPr>
                <w:rFonts w:eastAsiaTheme="minorHAnsi"/>
                <w:b/>
                <w:sz w:val="23"/>
                <w:szCs w:val="23"/>
                <w:lang w:eastAsia="ro-RO"/>
              </w:rPr>
            </w:pPr>
            <w:r w:rsidRPr="00B650D9">
              <w:rPr>
                <w:rFonts w:eastAsiaTheme="minorHAnsi"/>
                <w:b/>
                <w:sz w:val="23"/>
                <w:szCs w:val="23"/>
                <w:lang w:eastAsia="ro-RO"/>
              </w:rPr>
              <w:t>2.4 Alte informații</w:t>
            </w:r>
            <w:r w:rsidR="0064777F" w:rsidRPr="00B650D9">
              <w:rPr>
                <w:rFonts w:eastAsiaTheme="minorHAnsi"/>
                <w:b/>
                <w:sz w:val="23"/>
                <w:szCs w:val="23"/>
                <w:lang w:eastAsia="ro-RO"/>
              </w:rPr>
              <w:t xml:space="preserve"> *)</w:t>
            </w:r>
          </w:p>
          <w:p w14:paraId="45862F79" w14:textId="144A2D94" w:rsidR="0053303E" w:rsidRPr="00B650D9" w:rsidRDefault="00F97140" w:rsidP="004E2DB8">
            <w:pPr>
              <w:pStyle w:val="NormalWeb"/>
              <w:spacing w:before="0" w:beforeAutospacing="0" w:after="120" w:afterAutospacing="0"/>
              <w:jc w:val="both"/>
              <w:rPr>
                <w:rFonts w:eastAsiaTheme="minorHAnsi"/>
                <w:bCs/>
                <w:sz w:val="23"/>
                <w:szCs w:val="23"/>
              </w:rPr>
            </w:pPr>
            <w:r w:rsidRPr="00B650D9">
              <w:rPr>
                <w:rFonts w:eastAsiaTheme="minorHAnsi"/>
                <w:bCs/>
                <w:sz w:val="23"/>
                <w:szCs w:val="23"/>
              </w:rPr>
              <w:t>Nu au fost identificate</w:t>
            </w:r>
          </w:p>
        </w:tc>
      </w:tr>
    </w:tbl>
    <w:p w14:paraId="4794020D" w14:textId="26DB8415" w:rsidR="00223491" w:rsidRPr="00B650D9" w:rsidRDefault="003864F6" w:rsidP="004E2DB8">
      <w:pPr>
        <w:spacing w:after="120"/>
        <w:ind w:firstLine="720"/>
        <w:jc w:val="center"/>
        <w:rPr>
          <w:b/>
        </w:rPr>
      </w:pPr>
      <w:r w:rsidRPr="00B650D9">
        <w:rPr>
          <w:b/>
        </w:rPr>
        <w:lastRenderedPageBreak/>
        <w:t>Secțiunea</w:t>
      </w:r>
      <w:r w:rsidR="00670C79" w:rsidRPr="00B650D9">
        <w:rPr>
          <w:b/>
        </w:rPr>
        <w:t xml:space="preserve"> a 3-a</w:t>
      </w:r>
    </w:p>
    <w:p w14:paraId="549941ED" w14:textId="2868D8F0" w:rsidR="00BF6BBB" w:rsidRPr="00B650D9" w:rsidRDefault="00670C79" w:rsidP="00500692">
      <w:pPr>
        <w:spacing w:after="120"/>
        <w:ind w:firstLine="720"/>
        <w:jc w:val="center"/>
        <w:rPr>
          <w:b/>
        </w:rPr>
      </w:pPr>
      <w:r w:rsidRPr="00B650D9">
        <w:rPr>
          <w:b/>
        </w:rPr>
        <w:t xml:space="preserve">Impactul socioeconomic </w:t>
      </w:r>
      <w:r w:rsidR="0064777F" w:rsidRPr="00B650D9">
        <w:rPr>
          <w:b/>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A60372" w:rsidRPr="00B650D9" w14:paraId="4F7B7B5A" w14:textId="77777777" w:rsidTr="007C07B3">
        <w:tc>
          <w:tcPr>
            <w:tcW w:w="10533" w:type="dxa"/>
          </w:tcPr>
          <w:p w14:paraId="612A275C" w14:textId="41654247" w:rsidR="00F72189" w:rsidRPr="00B650D9" w:rsidRDefault="00F72189" w:rsidP="004E2DB8">
            <w:pPr>
              <w:spacing w:after="120"/>
              <w:jc w:val="both"/>
              <w:rPr>
                <w:b/>
                <w:sz w:val="23"/>
                <w:szCs w:val="23"/>
              </w:rPr>
            </w:pPr>
            <w:r w:rsidRPr="00B650D9">
              <w:rPr>
                <w:b/>
                <w:sz w:val="23"/>
                <w:szCs w:val="23"/>
              </w:rPr>
              <w:t>3.1 Descrierea generală a beneficiilor și costurilor estimate ca urmare a intrării în vigoare a actului normativ</w:t>
            </w:r>
          </w:p>
          <w:p w14:paraId="49537E0E" w14:textId="77777777" w:rsidR="004F068D" w:rsidRPr="00B650D9" w:rsidRDefault="004F068D" w:rsidP="004E2DB8">
            <w:pPr>
              <w:spacing w:after="120"/>
              <w:jc w:val="both"/>
              <w:rPr>
                <w:rFonts w:eastAsiaTheme="minorEastAsia"/>
                <w:sz w:val="23"/>
                <w:szCs w:val="23"/>
                <w:lang w:eastAsia="ro-RO"/>
              </w:rPr>
            </w:pPr>
            <w:r w:rsidRPr="00B650D9">
              <w:rPr>
                <w:rFonts w:eastAsiaTheme="minorEastAsia"/>
                <w:sz w:val="23"/>
                <w:szCs w:val="23"/>
                <w:lang w:eastAsia="ro-RO"/>
              </w:rPr>
              <w:t>Proiectul de act normativ nu se referă la acest subiect.</w:t>
            </w:r>
          </w:p>
          <w:p w14:paraId="190C27FD" w14:textId="14A06339" w:rsidR="00FB45DC" w:rsidRPr="00B650D9" w:rsidRDefault="00F72189" w:rsidP="004E2DB8">
            <w:pPr>
              <w:spacing w:after="120"/>
              <w:jc w:val="both"/>
              <w:rPr>
                <w:b/>
                <w:sz w:val="23"/>
                <w:szCs w:val="23"/>
              </w:rPr>
            </w:pPr>
            <w:r w:rsidRPr="00B650D9">
              <w:rPr>
                <w:b/>
                <w:sz w:val="23"/>
                <w:szCs w:val="23"/>
              </w:rPr>
              <w:t>3.2 Impactul social</w:t>
            </w:r>
          </w:p>
          <w:p w14:paraId="14D571C7" w14:textId="77777777" w:rsidR="004F068D" w:rsidRPr="00B650D9" w:rsidRDefault="004F068D" w:rsidP="004E2DB8">
            <w:pPr>
              <w:spacing w:after="120"/>
              <w:jc w:val="both"/>
              <w:rPr>
                <w:rFonts w:eastAsiaTheme="minorEastAsia"/>
                <w:sz w:val="23"/>
                <w:szCs w:val="23"/>
                <w:lang w:eastAsia="ro-RO"/>
              </w:rPr>
            </w:pPr>
            <w:r w:rsidRPr="00B650D9">
              <w:rPr>
                <w:rFonts w:eastAsiaTheme="minorEastAsia"/>
                <w:sz w:val="23"/>
                <w:szCs w:val="23"/>
                <w:lang w:eastAsia="ro-RO"/>
              </w:rPr>
              <w:t>Proiectul de act normativ nu se referă la acest subiect.</w:t>
            </w:r>
          </w:p>
          <w:p w14:paraId="49F54BE2" w14:textId="6B357F25" w:rsidR="00FB45DC" w:rsidRPr="00B650D9" w:rsidRDefault="00F72189" w:rsidP="004E2DB8">
            <w:pPr>
              <w:spacing w:after="120"/>
              <w:jc w:val="both"/>
              <w:rPr>
                <w:bCs/>
                <w:sz w:val="23"/>
                <w:szCs w:val="23"/>
              </w:rPr>
            </w:pPr>
            <w:r w:rsidRPr="00B650D9">
              <w:rPr>
                <w:b/>
                <w:sz w:val="23"/>
                <w:szCs w:val="23"/>
              </w:rPr>
              <w:t xml:space="preserve">3.3. Impactul asupra drepturilor și libertăților fundamentale ale omului </w:t>
            </w:r>
            <w:r w:rsidR="00FB45DC" w:rsidRPr="00B650D9">
              <w:rPr>
                <w:bCs/>
                <w:sz w:val="23"/>
                <w:szCs w:val="23"/>
              </w:rPr>
              <w:t>.</w:t>
            </w:r>
          </w:p>
          <w:p w14:paraId="5081FA1F" w14:textId="77777777" w:rsidR="004F068D" w:rsidRPr="00B650D9" w:rsidRDefault="004F068D" w:rsidP="004E2DB8">
            <w:pPr>
              <w:spacing w:after="120"/>
              <w:jc w:val="both"/>
              <w:rPr>
                <w:rFonts w:eastAsiaTheme="minorEastAsia"/>
                <w:sz w:val="23"/>
                <w:szCs w:val="23"/>
                <w:lang w:eastAsia="ro-RO"/>
              </w:rPr>
            </w:pPr>
            <w:r w:rsidRPr="00B650D9">
              <w:rPr>
                <w:rFonts w:eastAsiaTheme="minorEastAsia"/>
                <w:sz w:val="23"/>
                <w:szCs w:val="23"/>
                <w:lang w:eastAsia="ro-RO"/>
              </w:rPr>
              <w:t>Proiectul de act normativ nu se referă la acest subiect.</w:t>
            </w:r>
          </w:p>
          <w:p w14:paraId="139B6ECC" w14:textId="4CCE48EA" w:rsidR="00FB45DC" w:rsidRPr="00B650D9" w:rsidRDefault="00FD3526" w:rsidP="004E2DB8">
            <w:pPr>
              <w:spacing w:after="120"/>
              <w:jc w:val="both"/>
              <w:rPr>
                <w:b/>
                <w:sz w:val="23"/>
                <w:szCs w:val="23"/>
              </w:rPr>
            </w:pPr>
            <w:r w:rsidRPr="00B650D9">
              <w:rPr>
                <w:b/>
                <w:sz w:val="23"/>
                <w:szCs w:val="23"/>
              </w:rPr>
              <w:t>3.4. Impactul macroeconomic</w:t>
            </w:r>
          </w:p>
          <w:p w14:paraId="1B16924E" w14:textId="01A89835" w:rsidR="00FB45DC" w:rsidRPr="00B650D9" w:rsidRDefault="00F72189" w:rsidP="004E2DB8">
            <w:pPr>
              <w:spacing w:after="120"/>
              <w:jc w:val="both"/>
              <w:rPr>
                <w:b/>
                <w:sz w:val="23"/>
                <w:szCs w:val="23"/>
              </w:rPr>
            </w:pPr>
            <w:r w:rsidRPr="00B650D9">
              <w:rPr>
                <w:b/>
                <w:sz w:val="23"/>
                <w:szCs w:val="23"/>
              </w:rPr>
              <w:t>3.</w:t>
            </w:r>
            <w:r w:rsidR="00FD3526" w:rsidRPr="00B650D9">
              <w:rPr>
                <w:b/>
                <w:sz w:val="23"/>
                <w:szCs w:val="23"/>
              </w:rPr>
              <w:t>4</w:t>
            </w:r>
            <w:r w:rsidRPr="00B650D9">
              <w:rPr>
                <w:b/>
                <w:sz w:val="23"/>
                <w:szCs w:val="23"/>
              </w:rPr>
              <w:t xml:space="preserve">.1 Impactul asupra </w:t>
            </w:r>
            <w:r w:rsidR="00FD3526" w:rsidRPr="00B650D9">
              <w:rPr>
                <w:b/>
                <w:sz w:val="23"/>
                <w:szCs w:val="23"/>
              </w:rPr>
              <w:t xml:space="preserve">economiei și asupra </w:t>
            </w:r>
            <w:r w:rsidRPr="00B650D9">
              <w:rPr>
                <w:b/>
                <w:sz w:val="23"/>
                <w:szCs w:val="23"/>
              </w:rPr>
              <w:t>principalilor indicatori macroeconomici</w:t>
            </w:r>
          </w:p>
          <w:p w14:paraId="31EAC8D6" w14:textId="77777777" w:rsidR="008222DF" w:rsidRPr="00B650D9" w:rsidRDefault="008222DF" w:rsidP="004E2DB8">
            <w:pPr>
              <w:spacing w:after="120"/>
              <w:jc w:val="both"/>
              <w:rPr>
                <w:rFonts w:eastAsiaTheme="minorEastAsia"/>
                <w:sz w:val="23"/>
                <w:szCs w:val="23"/>
                <w:lang w:eastAsia="ro-RO"/>
              </w:rPr>
            </w:pPr>
            <w:r w:rsidRPr="00B650D9">
              <w:rPr>
                <w:rFonts w:eastAsiaTheme="minorEastAsia"/>
                <w:sz w:val="23"/>
                <w:szCs w:val="23"/>
                <w:lang w:eastAsia="ro-RO"/>
              </w:rPr>
              <w:t>Proiectul de act normativ nu se referă la acest subiect.</w:t>
            </w:r>
          </w:p>
          <w:p w14:paraId="18C98DD5" w14:textId="318BB39D" w:rsidR="00F72189" w:rsidRPr="00B650D9" w:rsidRDefault="00F72189" w:rsidP="004E2DB8">
            <w:pPr>
              <w:spacing w:after="120"/>
              <w:jc w:val="both"/>
              <w:rPr>
                <w:b/>
                <w:sz w:val="23"/>
                <w:szCs w:val="23"/>
              </w:rPr>
            </w:pPr>
            <w:r w:rsidRPr="00B650D9">
              <w:rPr>
                <w:b/>
                <w:sz w:val="23"/>
                <w:szCs w:val="23"/>
              </w:rPr>
              <w:t>3.</w:t>
            </w:r>
            <w:r w:rsidR="00FD3526" w:rsidRPr="00B650D9">
              <w:rPr>
                <w:b/>
                <w:sz w:val="23"/>
                <w:szCs w:val="23"/>
              </w:rPr>
              <w:t>4</w:t>
            </w:r>
            <w:r w:rsidRPr="00B650D9">
              <w:rPr>
                <w:b/>
                <w:sz w:val="23"/>
                <w:szCs w:val="23"/>
              </w:rPr>
              <w:t>.2 Impactul asupra mediului concurențial si domeniul</w:t>
            </w:r>
            <w:r w:rsidR="00FB45DC" w:rsidRPr="00B650D9">
              <w:rPr>
                <w:b/>
                <w:sz w:val="23"/>
                <w:szCs w:val="23"/>
              </w:rPr>
              <w:t>ui</w:t>
            </w:r>
            <w:r w:rsidRPr="00B650D9">
              <w:rPr>
                <w:b/>
                <w:sz w:val="23"/>
                <w:szCs w:val="23"/>
              </w:rPr>
              <w:t xml:space="preserve"> ajutoarelor de stat</w:t>
            </w:r>
          </w:p>
          <w:p w14:paraId="7466C82C" w14:textId="261A2930" w:rsidR="004F068D" w:rsidRPr="00B650D9" w:rsidRDefault="004F068D" w:rsidP="004E2DB8">
            <w:pPr>
              <w:spacing w:after="120"/>
              <w:jc w:val="both"/>
              <w:rPr>
                <w:rFonts w:eastAsiaTheme="minorEastAsia"/>
                <w:sz w:val="23"/>
                <w:szCs w:val="23"/>
                <w:lang w:eastAsia="ro-RO"/>
              </w:rPr>
            </w:pPr>
            <w:r w:rsidRPr="00B650D9">
              <w:rPr>
                <w:rFonts w:eastAsiaTheme="minorEastAsia"/>
                <w:sz w:val="23"/>
                <w:szCs w:val="23"/>
                <w:lang w:eastAsia="ro-RO"/>
              </w:rPr>
              <w:t>Prezentul act normativ nu se referă la acest subiect</w:t>
            </w:r>
          </w:p>
          <w:p w14:paraId="5D645A5F" w14:textId="285997E0" w:rsidR="00F72189" w:rsidRPr="00B650D9" w:rsidRDefault="00F72189" w:rsidP="004E2DB8">
            <w:pPr>
              <w:spacing w:after="120"/>
              <w:jc w:val="both"/>
              <w:rPr>
                <w:b/>
                <w:sz w:val="23"/>
                <w:szCs w:val="23"/>
              </w:rPr>
            </w:pPr>
            <w:r w:rsidRPr="00B650D9">
              <w:rPr>
                <w:b/>
                <w:sz w:val="23"/>
                <w:szCs w:val="23"/>
              </w:rPr>
              <w:t>3.</w:t>
            </w:r>
            <w:r w:rsidR="00FD3526" w:rsidRPr="00B650D9">
              <w:rPr>
                <w:b/>
                <w:sz w:val="23"/>
                <w:szCs w:val="23"/>
              </w:rPr>
              <w:t>5</w:t>
            </w:r>
            <w:r w:rsidRPr="00B650D9">
              <w:rPr>
                <w:b/>
                <w:sz w:val="23"/>
                <w:szCs w:val="23"/>
              </w:rPr>
              <w:t>. Impactul asupra mediului de afaceri</w:t>
            </w:r>
          </w:p>
          <w:p w14:paraId="102439EE" w14:textId="19120BBF" w:rsidR="004F068D" w:rsidRPr="00B650D9" w:rsidRDefault="008222DF" w:rsidP="004E2DB8">
            <w:pPr>
              <w:spacing w:after="120"/>
              <w:jc w:val="both"/>
              <w:rPr>
                <w:rFonts w:eastAsiaTheme="minorEastAsia"/>
                <w:sz w:val="23"/>
                <w:szCs w:val="23"/>
                <w:lang w:eastAsia="ro-RO"/>
              </w:rPr>
            </w:pPr>
            <w:r w:rsidRPr="00B650D9">
              <w:rPr>
                <w:rFonts w:eastAsiaTheme="minorEastAsia"/>
                <w:sz w:val="23"/>
                <w:szCs w:val="23"/>
                <w:lang w:eastAsia="ro-RO"/>
              </w:rPr>
              <w:t>Prezentul act normativ nu se referă la acest subiect</w:t>
            </w:r>
          </w:p>
          <w:p w14:paraId="6BA44179" w14:textId="50BB61E5" w:rsidR="00FD3526" w:rsidRPr="00B650D9" w:rsidRDefault="00FD3526" w:rsidP="004E2DB8">
            <w:pPr>
              <w:spacing w:after="120"/>
              <w:jc w:val="both"/>
              <w:rPr>
                <w:b/>
                <w:sz w:val="23"/>
                <w:szCs w:val="23"/>
              </w:rPr>
            </w:pPr>
            <w:r w:rsidRPr="00B650D9">
              <w:rPr>
                <w:b/>
                <w:sz w:val="23"/>
                <w:szCs w:val="23"/>
              </w:rPr>
              <w:t>3.6 Impactul asupra mediului înconjurător</w:t>
            </w:r>
          </w:p>
          <w:p w14:paraId="13603751" w14:textId="77777777" w:rsidR="00723488" w:rsidRPr="00B650D9" w:rsidRDefault="00723488" w:rsidP="004E2DB8">
            <w:pPr>
              <w:spacing w:after="120"/>
              <w:jc w:val="both"/>
              <w:rPr>
                <w:rFonts w:eastAsiaTheme="minorEastAsia"/>
                <w:sz w:val="23"/>
                <w:szCs w:val="23"/>
                <w:lang w:eastAsia="ro-RO"/>
              </w:rPr>
            </w:pPr>
            <w:r w:rsidRPr="00B650D9">
              <w:rPr>
                <w:rFonts w:eastAsiaTheme="minorEastAsia"/>
                <w:sz w:val="23"/>
                <w:szCs w:val="23"/>
                <w:lang w:eastAsia="ro-RO"/>
              </w:rPr>
              <w:t>Prezentul act normativ nu se referă la acest subiect</w:t>
            </w:r>
          </w:p>
          <w:p w14:paraId="55CFDA7E" w14:textId="6D36CE3A" w:rsidR="00FD3526" w:rsidRPr="00B650D9" w:rsidRDefault="00FD3526" w:rsidP="004E2DB8">
            <w:pPr>
              <w:spacing w:after="120"/>
              <w:jc w:val="both"/>
              <w:rPr>
                <w:b/>
                <w:bCs/>
                <w:sz w:val="23"/>
                <w:szCs w:val="23"/>
              </w:rPr>
            </w:pPr>
            <w:r w:rsidRPr="00B650D9">
              <w:rPr>
                <w:b/>
                <w:bCs/>
                <w:sz w:val="23"/>
                <w:szCs w:val="23"/>
              </w:rPr>
              <w:t>3.7. Evaluarea costurilor și beneficiilor din perspectiva inovării și digitalizării</w:t>
            </w:r>
          </w:p>
          <w:p w14:paraId="11B5A1AE" w14:textId="77777777" w:rsidR="00723488" w:rsidRPr="00B650D9" w:rsidRDefault="00723488" w:rsidP="004E2DB8">
            <w:pPr>
              <w:spacing w:after="120"/>
              <w:jc w:val="both"/>
              <w:rPr>
                <w:rFonts w:eastAsiaTheme="minorEastAsia"/>
                <w:sz w:val="23"/>
                <w:szCs w:val="23"/>
                <w:lang w:eastAsia="ro-RO"/>
              </w:rPr>
            </w:pPr>
            <w:r w:rsidRPr="00B650D9">
              <w:rPr>
                <w:rFonts w:eastAsiaTheme="minorEastAsia"/>
                <w:sz w:val="23"/>
                <w:szCs w:val="23"/>
                <w:lang w:eastAsia="ro-RO"/>
              </w:rPr>
              <w:t>Prezentul act normativ nu se referă la acest subiect</w:t>
            </w:r>
          </w:p>
          <w:p w14:paraId="2ABFD9F1" w14:textId="0008530D" w:rsidR="00FF587A" w:rsidRPr="00B650D9" w:rsidRDefault="00FD3526" w:rsidP="004E2DB8">
            <w:pPr>
              <w:spacing w:after="120"/>
              <w:jc w:val="both"/>
              <w:rPr>
                <w:b/>
                <w:bCs/>
                <w:sz w:val="23"/>
                <w:szCs w:val="23"/>
              </w:rPr>
            </w:pPr>
            <w:r w:rsidRPr="00B650D9">
              <w:rPr>
                <w:b/>
                <w:bCs/>
                <w:sz w:val="23"/>
                <w:szCs w:val="23"/>
              </w:rPr>
              <w:t>3.8 Evaluarea costurilor și beneficiilor din perspectiva dezvoltării durabile</w:t>
            </w:r>
          </w:p>
          <w:p w14:paraId="34FD6DA6" w14:textId="77777777" w:rsidR="00723488" w:rsidRPr="00B650D9" w:rsidRDefault="00723488" w:rsidP="004E2DB8">
            <w:pPr>
              <w:spacing w:after="120"/>
              <w:jc w:val="both"/>
              <w:rPr>
                <w:rFonts w:eastAsiaTheme="minorEastAsia"/>
                <w:sz w:val="23"/>
                <w:szCs w:val="23"/>
                <w:lang w:eastAsia="ro-RO"/>
              </w:rPr>
            </w:pPr>
            <w:r w:rsidRPr="00B650D9">
              <w:rPr>
                <w:rFonts w:eastAsiaTheme="minorEastAsia"/>
                <w:sz w:val="23"/>
                <w:szCs w:val="23"/>
                <w:lang w:eastAsia="ro-RO"/>
              </w:rPr>
              <w:t>Prezentul act normativ nu se referă la acest subiect</w:t>
            </w:r>
          </w:p>
          <w:p w14:paraId="084ABB04" w14:textId="77777777" w:rsidR="00FD3526" w:rsidRPr="00B650D9" w:rsidRDefault="00FD3526" w:rsidP="004E2DB8">
            <w:pPr>
              <w:spacing w:after="120"/>
              <w:jc w:val="both"/>
              <w:rPr>
                <w:b/>
                <w:bCs/>
                <w:sz w:val="23"/>
                <w:szCs w:val="23"/>
              </w:rPr>
            </w:pPr>
            <w:r w:rsidRPr="00B650D9">
              <w:rPr>
                <w:b/>
                <w:bCs/>
                <w:sz w:val="23"/>
                <w:szCs w:val="23"/>
              </w:rPr>
              <w:t>3.9. Alte informații</w:t>
            </w:r>
          </w:p>
          <w:p w14:paraId="041FB550" w14:textId="35F548BE" w:rsidR="00723488" w:rsidRPr="00B650D9" w:rsidRDefault="00723488" w:rsidP="004E2DB8">
            <w:pPr>
              <w:spacing w:after="120"/>
              <w:jc w:val="both"/>
              <w:rPr>
                <w:b/>
                <w:bCs/>
                <w:sz w:val="23"/>
                <w:szCs w:val="23"/>
              </w:rPr>
            </w:pPr>
            <w:r w:rsidRPr="00B650D9">
              <w:rPr>
                <w:rFonts w:eastAsiaTheme="minorEastAsia"/>
                <w:sz w:val="23"/>
                <w:szCs w:val="23"/>
                <w:lang w:eastAsia="ro-RO"/>
              </w:rPr>
              <w:t>Nu au fost identificate</w:t>
            </w:r>
          </w:p>
        </w:tc>
      </w:tr>
    </w:tbl>
    <w:p w14:paraId="27B98DEA" w14:textId="3840CFF6" w:rsidR="00742E10" w:rsidRPr="00B650D9" w:rsidRDefault="00742E10" w:rsidP="004E2DB8">
      <w:pPr>
        <w:spacing w:after="120"/>
        <w:ind w:firstLine="720"/>
        <w:jc w:val="both"/>
        <w:rPr>
          <w:b/>
          <w:highlight w:val="yellow"/>
        </w:rPr>
      </w:pPr>
    </w:p>
    <w:p w14:paraId="138ABF03" w14:textId="77777777" w:rsidR="00FD6313" w:rsidRPr="00B650D9" w:rsidRDefault="00FD6313" w:rsidP="004E2DB8">
      <w:pPr>
        <w:spacing w:after="120"/>
        <w:ind w:firstLine="720"/>
        <w:jc w:val="center"/>
        <w:rPr>
          <w:b/>
        </w:rPr>
      </w:pPr>
    </w:p>
    <w:p w14:paraId="2AE7CCB2" w14:textId="77777777" w:rsidR="00FD6313" w:rsidRPr="00B650D9" w:rsidRDefault="00FD6313" w:rsidP="004E2DB8">
      <w:pPr>
        <w:spacing w:after="120"/>
        <w:ind w:firstLine="720"/>
        <w:jc w:val="center"/>
        <w:rPr>
          <w:b/>
        </w:rPr>
      </w:pPr>
    </w:p>
    <w:p w14:paraId="56ED7ABB" w14:textId="77777777" w:rsidR="00FD6313" w:rsidRPr="00B650D9" w:rsidRDefault="00FD6313" w:rsidP="004E2DB8">
      <w:pPr>
        <w:spacing w:after="120"/>
        <w:ind w:firstLine="720"/>
        <w:jc w:val="center"/>
        <w:rPr>
          <w:b/>
        </w:rPr>
      </w:pPr>
    </w:p>
    <w:p w14:paraId="20A2BC5C" w14:textId="19A480CA" w:rsidR="005A13C5" w:rsidRPr="00B650D9" w:rsidRDefault="00214287" w:rsidP="004E2DB8">
      <w:pPr>
        <w:spacing w:after="120"/>
        <w:ind w:firstLine="720"/>
        <w:jc w:val="center"/>
        <w:rPr>
          <w:b/>
        </w:rPr>
      </w:pPr>
      <w:r w:rsidRPr="00B650D9">
        <w:rPr>
          <w:b/>
        </w:rPr>
        <w:lastRenderedPageBreak/>
        <w:t>Secțiunea</w:t>
      </w:r>
      <w:r w:rsidR="00670C79" w:rsidRPr="00B650D9">
        <w:rPr>
          <w:b/>
        </w:rPr>
        <w:t xml:space="preserve"> a 4-a</w:t>
      </w:r>
    </w:p>
    <w:p w14:paraId="387D2AE6" w14:textId="1673F366" w:rsidR="00BF6BBB" w:rsidRPr="00B650D9" w:rsidRDefault="00670C79" w:rsidP="00500692">
      <w:pPr>
        <w:spacing w:after="120"/>
        <w:ind w:firstLine="720"/>
        <w:jc w:val="center"/>
        <w:rPr>
          <w:b/>
        </w:rPr>
      </w:pPr>
      <w:r w:rsidRPr="00B650D9">
        <w:rPr>
          <w:b/>
        </w:rPr>
        <w:t xml:space="preserve">Impactul financiar asupra bugetului </w:t>
      </w:r>
      <w:r w:rsidR="0064777F" w:rsidRPr="00B650D9">
        <w:rPr>
          <w:b/>
        </w:rPr>
        <w:t>general</w:t>
      </w:r>
      <w:r w:rsidRPr="00B650D9">
        <w:rPr>
          <w:b/>
        </w:rPr>
        <w:t xml:space="preserve"> consolidat atât pe termen scurt, pentru</w:t>
      </w:r>
      <w:r w:rsidR="00DB71DB" w:rsidRPr="00B650D9">
        <w:rPr>
          <w:b/>
        </w:rPr>
        <w:t xml:space="preserve"> </w:t>
      </w:r>
      <w:r w:rsidRPr="00B650D9">
        <w:rPr>
          <w:b/>
        </w:rPr>
        <w:t xml:space="preserve">anul curent, cât </w:t>
      </w:r>
      <w:r w:rsidR="00214949" w:rsidRPr="00B650D9">
        <w:rPr>
          <w:b/>
        </w:rPr>
        <w:t>și</w:t>
      </w:r>
      <w:r w:rsidRPr="00B650D9">
        <w:rPr>
          <w:b/>
        </w:rPr>
        <w:t xml:space="preserve"> pe termen lung (pe 5 ani)</w:t>
      </w:r>
      <w:r w:rsidR="003034B1" w:rsidRPr="00B650D9">
        <w:rPr>
          <w:b/>
        </w:rPr>
        <w:t>, inclusiv informații cu privire la cheltuieli și venituri</w:t>
      </w:r>
      <w:r w:rsidR="0064777F" w:rsidRPr="00B650D9">
        <w:rPr>
          <w:b/>
        </w:rPr>
        <w:t xml:space="preserve"> ***)</w:t>
      </w:r>
    </w:p>
    <w:p w14:paraId="794D6000" w14:textId="77777777" w:rsidR="00E23F3A" w:rsidRPr="00B650D9" w:rsidRDefault="00E23F3A" w:rsidP="00500692">
      <w:pPr>
        <w:spacing w:after="120"/>
        <w:ind w:firstLine="720"/>
        <w:jc w:val="center"/>
        <w:rPr>
          <w:b/>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058"/>
        <w:gridCol w:w="1366"/>
        <w:gridCol w:w="1466"/>
        <w:gridCol w:w="1366"/>
        <w:gridCol w:w="1135"/>
        <w:gridCol w:w="1448"/>
      </w:tblGrid>
      <w:tr w:rsidR="00A60372" w:rsidRPr="00B650D9" w14:paraId="0C843357" w14:textId="77777777" w:rsidTr="00343EC0">
        <w:trPr>
          <w:tblHeader/>
        </w:trPr>
        <w:tc>
          <w:tcPr>
            <w:tcW w:w="10533" w:type="dxa"/>
            <w:gridSpan w:val="7"/>
          </w:tcPr>
          <w:p w14:paraId="33061C9B" w14:textId="7824EB12" w:rsidR="009A76F9" w:rsidRPr="00B650D9" w:rsidRDefault="009A76F9" w:rsidP="00FD6313">
            <w:pPr>
              <w:pStyle w:val="ListParagraph"/>
              <w:numPr>
                <w:ilvl w:val="0"/>
                <w:numId w:val="13"/>
              </w:numPr>
              <w:contextualSpacing w:val="0"/>
              <w:jc w:val="right"/>
              <w:rPr>
                <w:rFonts w:ascii="Times New Roman" w:hAnsi="Times New Roman" w:cs="Times New Roman"/>
                <w:sz w:val="22"/>
                <w:szCs w:val="22"/>
              </w:rPr>
            </w:pPr>
            <w:r w:rsidRPr="00B650D9">
              <w:rPr>
                <w:rFonts w:ascii="Times New Roman" w:hAnsi="Times New Roman" w:cs="Times New Roman"/>
                <w:sz w:val="22"/>
                <w:szCs w:val="22"/>
              </w:rPr>
              <w:t>În mii lei (RON)</w:t>
            </w:r>
          </w:p>
        </w:tc>
      </w:tr>
      <w:tr w:rsidR="00A60372" w:rsidRPr="00B650D9" w14:paraId="57D824B3" w14:textId="77777777" w:rsidTr="00343EC0">
        <w:trPr>
          <w:tblHeader/>
        </w:trPr>
        <w:tc>
          <w:tcPr>
            <w:tcW w:w="2694" w:type="dxa"/>
          </w:tcPr>
          <w:p w14:paraId="318BEE35" w14:textId="77777777" w:rsidR="00670C79" w:rsidRPr="00B650D9" w:rsidRDefault="00670C79" w:rsidP="00FD6313">
            <w:pPr>
              <w:pStyle w:val="Heading2"/>
              <w:rPr>
                <w:sz w:val="22"/>
                <w:szCs w:val="22"/>
              </w:rPr>
            </w:pPr>
            <w:r w:rsidRPr="00B650D9">
              <w:rPr>
                <w:sz w:val="22"/>
                <w:szCs w:val="22"/>
              </w:rPr>
              <w:t>Indicatori</w:t>
            </w:r>
          </w:p>
        </w:tc>
        <w:tc>
          <w:tcPr>
            <w:tcW w:w="1058" w:type="dxa"/>
          </w:tcPr>
          <w:p w14:paraId="603E3C85" w14:textId="129C77CD" w:rsidR="00670C79" w:rsidRPr="00B650D9" w:rsidRDefault="00670C79" w:rsidP="00FD6313">
            <w:pPr>
              <w:jc w:val="center"/>
              <w:rPr>
                <w:sz w:val="22"/>
                <w:szCs w:val="22"/>
              </w:rPr>
            </w:pPr>
            <w:r w:rsidRPr="00B650D9">
              <w:rPr>
                <w:sz w:val="22"/>
                <w:szCs w:val="22"/>
              </w:rPr>
              <w:t>An</w:t>
            </w:r>
            <w:r w:rsidR="009A76F9" w:rsidRPr="00B650D9">
              <w:rPr>
                <w:sz w:val="22"/>
                <w:szCs w:val="22"/>
              </w:rPr>
              <w:t>ul</w:t>
            </w:r>
            <w:r w:rsidRPr="00B650D9">
              <w:rPr>
                <w:sz w:val="22"/>
                <w:szCs w:val="22"/>
              </w:rPr>
              <w:t xml:space="preserve"> curent</w:t>
            </w:r>
          </w:p>
        </w:tc>
        <w:tc>
          <w:tcPr>
            <w:tcW w:w="5333" w:type="dxa"/>
            <w:gridSpan w:val="4"/>
          </w:tcPr>
          <w:p w14:paraId="4EA4AF47" w14:textId="77777777" w:rsidR="00670C79" w:rsidRPr="00B650D9" w:rsidRDefault="00670C79" w:rsidP="00FD6313">
            <w:pPr>
              <w:jc w:val="center"/>
              <w:rPr>
                <w:sz w:val="22"/>
                <w:szCs w:val="22"/>
              </w:rPr>
            </w:pPr>
            <w:r w:rsidRPr="00B650D9">
              <w:rPr>
                <w:sz w:val="22"/>
                <w:szCs w:val="22"/>
              </w:rPr>
              <w:t>Următorii 4 ani</w:t>
            </w:r>
          </w:p>
        </w:tc>
        <w:tc>
          <w:tcPr>
            <w:tcW w:w="1448" w:type="dxa"/>
          </w:tcPr>
          <w:p w14:paraId="1EE52564" w14:textId="74A4CFA0" w:rsidR="00670C79" w:rsidRPr="00B650D9" w:rsidRDefault="00670C79" w:rsidP="00FD6313">
            <w:pPr>
              <w:jc w:val="center"/>
              <w:rPr>
                <w:sz w:val="22"/>
                <w:szCs w:val="22"/>
              </w:rPr>
            </w:pPr>
            <w:r w:rsidRPr="00B650D9">
              <w:rPr>
                <w:sz w:val="22"/>
                <w:szCs w:val="22"/>
              </w:rPr>
              <w:t xml:space="preserve">Media </w:t>
            </w:r>
            <w:r w:rsidR="009A76F9" w:rsidRPr="00B650D9">
              <w:rPr>
                <w:sz w:val="22"/>
                <w:szCs w:val="22"/>
              </w:rPr>
              <w:t>pe</w:t>
            </w:r>
            <w:r w:rsidRPr="00B650D9">
              <w:rPr>
                <w:sz w:val="22"/>
                <w:szCs w:val="22"/>
              </w:rPr>
              <w:t xml:space="preserve"> 5 ani</w:t>
            </w:r>
          </w:p>
        </w:tc>
      </w:tr>
      <w:tr w:rsidR="00A60372" w:rsidRPr="00B650D9" w14:paraId="31AEB740" w14:textId="77777777" w:rsidTr="00343EC0">
        <w:trPr>
          <w:tblHeader/>
        </w:trPr>
        <w:tc>
          <w:tcPr>
            <w:tcW w:w="2694" w:type="dxa"/>
          </w:tcPr>
          <w:p w14:paraId="1A04C9C9" w14:textId="77777777" w:rsidR="00670C79" w:rsidRPr="00B650D9" w:rsidRDefault="00670C79" w:rsidP="00FD6313">
            <w:pPr>
              <w:jc w:val="center"/>
              <w:rPr>
                <w:sz w:val="22"/>
                <w:szCs w:val="22"/>
              </w:rPr>
            </w:pPr>
            <w:r w:rsidRPr="00B650D9">
              <w:rPr>
                <w:sz w:val="22"/>
                <w:szCs w:val="22"/>
              </w:rPr>
              <w:t>1</w:t>
            </w:r>
          </w:p>
        </w:tc>
        <w:tc>
          <w:tcPr>
            <w:tcW w:w="1058" w:type="dxa"/>
          </w:tcPr>
          <w:p w14:paraId="44BDE6EE" w14:textId="77777777" w:rsidR="00670C79" w:rsidRPr="00B650D9" w:rsidRDefault="00670C79" w:rsidP="00FD6313">
            <w:pPr>
              <w:jc w:val="center"/>
              <w:rPr>
                <w:sz w:val="22"/>
                <w:szCs w:val="22"/>
              </w:rPr>
            </w:pPr>
            <w:r w:rsidRPr="00B650D9">
              <w:rPr>
                <w:sz w:val="22"/>
                <w:szCs w:val="22"/>
              </w:rPr>
              <w:t>2</w:t>
            </w:r>
          </w:p>
        </w:tc>
        <w:tc>
          <w:tcPr>
            <w:tcW w:w="1366" w:type="dxa"/>
          </w:tcPr>
          <w:p w14:paraId="44511A2B" w14:textId="77777777" w:rsidR="00670C79" w:rsidRPr="00B650D9" w:rsidRDefault="00670C79" w:rsidP="00FD6313">
            <w:pPr>
              <w:jc w:val="center"/>
              <w:rPr>
                <w:sz w:val="22"/>
                <w:szCs w:val="22"/>
              </w:rPr>
            </w:pPr>
            <w:r w:rsidRPr="00B650D9">
              <w:rPr>
                <w:sz w:val="22"/>
                <w:szCs w:val="22"/>
              </w:rPr>
              <w:t>3</w:t>
            </w:r>
          </w:p>
        </w:tc>
        <w:tc>
          <w:tcPr>
            <w:tcW w:w="1466" w:type="dxa"/>
          </w:tcPr>
          <w:p w14:paraId="7665B810" w14:textId="77777777" w:rsidR="00670C79" w:rsidRPr="00B650D9" w:rsidRDefault="00670C79" w:rsidP="00FD6313">
            <w:pPr>
              <w:jc w:val="center"/>
              <w:rPr>
                <w:sz w:val="22"/>
                <w:szCs w:val="22"/>
              </w:rPr>
            </w:pPr>
            <w:r w:rsidRPr="00B650D9">
              <w:rPr>
                <w:sz w:val="22"/>
                <w:szCs w:val="22"/>
              </w:rPr>
              <w:t>4</w:t>
            </w:r>
          </w:p>
        </w:tc>
        <w:tc>
          <w:tcPr>
            <w:tcW w:w="1366" w:type="dxa"/>
          </w:tcPr>
          <w:p w14:paraId="375332DA" w14:textId="77777777" w:rsidR="00670C79" w:rsidRPr="00B650D9" w:rsidRDefault="00670C79" w:rsidP="00FD6313">
            <w:pPr>
              <w:jc w:val="center"/>
              <w:rPr>
                <w:sz w:val="22"/>
                <w:szCs w:val="22"/>
              </w:rPr>
            </w:pPr>
            <w:r w:rsidRPr="00B650D9">
              <w:rPr>
                <w:sz w:val="22"/>
                <w:szCs w:val="22"/>
              </w:rPr>
              <w:t>5</w:t>
            </w:r>
          </w:p>
        </w:tc>
        <w:tc>
          <w:tcPr>
            <w:tcW w:w="1135" w:type="dxa"/>
          </w:tcPr>
          <w:p w14:paraId="0DD2A48C" w14:textId="77777777" w:rsidR="00670C79" w:rsidRPr="00B650D9" w:rsidRDefault="00670C79" w:rsidP="00FD6313">
            <w:pPr>
              <w:jc w:val="center"/>
              <w:rPr>
                <w:sz w:val="22"/>
                <w:szCs w:val="22"/>
              </w:rPr>
            </w:pPr>
            <w:r w:rsidRPr="00B650D9">
              <w:rPr>
                <w:sz w:val="22"/>
                <w:szCs w:val="22"/>
              </w:rPr>
              <w:t>6</w:t>
            </w:r>
          </w:p>
        </w:tc>
        <w:tc>
          <w:tcPr>
            <w:tcW w:w="1448" w:type="dxa"/>
          </w:tcPr>
          <w:p w14:paraId="64FF500C" w14:textId="77777777" w:rsidR="00670C79" w:rsidRPr="00B650D9" w:rsidRDefault="00670C79" w:rsidP="00FD6313">
            <w:pPr>
              <w:jc w:val="center"/>
              <w:rPr>
                <w:sz w:val="22"/>
                <w:szCs w:val="22"/>
              </w:rPr>
            </w:pPr>
            <w:r w:rsidRPr="00B650D9">
              <w:rPr>
                <w:sz w:val="22"/>
                <w:szCs w:val="22"/>
              </w:rPr>
              <w:t>7</w:t>
            </w:r>
          </w:p>
        </w:tc>
      </w:tr>
      <w:tr w:rsidR="00A60372" w:rsidRPr="00B650D9" w14:paraId="24F374CE" w14:textId="77777777" w:rsidTr="00343EC0">
        <w:tc>
          <w:tcPr>
            <w:tcW w:w="2694" w:type="dxa"/>
          </w:tcPr>
          <w:p w14:paraId="7075F3AB" w14:textId="3D2A3576" w:rsidR="0025682E" w:rsidRPr="00B650D9" w:rsidRDefault="00CD28D5" w:rsidP="00FD6313">
            <w:pPr>
              <w:jc w:val="both"/>
              <w:rPr>
                <w:b/>
                <w:bCs/>
                <w:sz w:val="22"/>
                <w:szCs w:val="22"/>
              </w:rPr>
            </w:pPr>
            <w:r w:rsidRPr="00B650D9">
              <w:rPr>
                <w:b/>
                <w:bCs/>
                <w:sz w:val="22"/>
                <w:szCs w:val="22"/>
              </w:rPr>
              <w:t>4.</w:t>
            </w:r>
            <w:r w:rsidR="00670C79" w:rsidRPr="00B650D9">
              <w:rPr>
                <w:b/>
                <w:bCs/>
                <w:sz w:val="22"/>
                <w:szCs w:val="22"/>
              </w:rPr>
              <w:t>1.</w:t>
            </w:r>
            <w:r w:rsidRPr="00B650D9">
              <w:rPr>
                <w:b/>
                <w:bCs/>
                <w:sz w:val="22"/>
                <w:szCs w:val="22"/>
              </w:rPr>
              <w:t xml:space="preserve"> </w:t>
            </w:r>
            <w:r w:rsidR="00670C79" w:rsidRPr="00B650D9">
              <w:rPr>
                <w:b/>
                <w:bCs/>
                <w:sz w:val="22"/>
                <w:szCs w:val="22"/>
              </w:rPr>
              <w:t>Modificări ale veniturilor bugetare, plus/minus, din care:</w:t>
            </w:r>
          </w:p>
        </w:tc>
        <w:tc>
          <w:tcPr>
            <w:tcW w:w="1058" w:type="dxa"/>
          </w:tcPr>
          <w:p w14:paraId="7811CDB2" w14:textId="77777777" w:rsidR="00670C79" w:rsidRPr="00B650D9" w:rsidRDefault="00670C79" w:rsidP="00FD6313">
            <w:pPr>
              <w:pStyle w:val="BodyText2"/>
              <w:rPr>
                <w:sz w:val="22"/>
                <w:szCs w:val="22"/>
                <w:highlight w:val="yellow"/>
              </w:rPr>
            </w:pPr>
          </w:p>
        </w:tc>
        <w:tc>
          <w:tcPr>
            <w:tcW w:w="1366" w:type="dxa"/>
          </w:tcPr>
          <w:p w14:paraId="5E0D1921" w14:textId="77777777" w:rsidR="00670C79" w:rsidRPr="00B650D9" w:rsidRDefault="00670C79" w:rsidP="00FD6313">
            <w:pPr>
              <w:pStyle w:val="BodyText2"/>
              <w:rPr>
                <w:sz w:val="22"/>
                <w:szCs w:val="22"/>
                <w:highlight w:val="yellow"/>
              </w:rPr>
            </w:pPr>
          </w:p>
        </w:tc>
        <w:tc>
          <w:tcPr>
            <w:tcW w:w="1466" w:type="dxa"/>
          </w:tcPr>
          <w:p w14:paraId="3789DD62" w14:textId="77777777" w:rsidR="00670C79" w:rsidRPr="00B650D9" w:rsidRDefault="00670C79" w:rsidP="00FD6313">
            <w:pPr>
              <w:pStyle w:val="BodyText2"/>
              <w:rPr>
                <w:sz w:val="22"/>
                <w:szCs w:val="22"/>
                <w:highlight w:val="yellow"/>
              </w:rPr>
            </w:pPr>
          </w:p>
        </w:tc>
        <w:tc>
          <w:tcPr>
            <w:tcW w:w="1366" w:type="dxa"/>
          </w:tcPr>
          <w:p w14:paraId="3EFEBCA3" w14:textId="77777777" w:rsidR="00670C79" w:rsidRPr="00B650D9" w:rsidRDefault="00670C79" w:rsidP="00FD6313">
            <w:pPr>
              <w:pStyle w:val="BodyText2"/>
              <w:rPr>
                <w:sz w:val="22"/>
                <w:szCs w:val="22"/>
                <w:highlight w:val="yellow"/>
              </w:rPr>
            </w:pPr>
          </w:p>
        </w:tc>
        <w:tc>
          <w:tcPr>
            <w:tcW w:w="1135" w:type="dxa"/>
          </w:tcPr>
          <w:p w14:paraId="4D97905B" w14:textId="77777777" w:rsidR="00670C79" w:rsidRPr="00B650D9" w:rsidRDefault="00670C79" w:rsidP="00FD6313">
            <w:pPr>
              <w:pStyle w:val="BodyText2"/>
              <w:rPr>
                <w:sz w:val="22"/>
                <w:szCs w:val="22"/>
                <w:highlight w:val="yellow"/>
              </w:rPr>
            </w:pPr>
          </w:p>
        </w:tc>
        <w:tc>
          <w:tcPr>
            <w:tcW w:w="1448" w:type="dxa"/>
          </w:tcPr>
          <w:p w14:paraId="4A89D66A" w14:textId="77777777" w:rsidR="00670C79" w:rsidRPr="00B650D9" w:rsidRDefault="00670C79" w:rsidP="00FD6313">
            <w:pPr>
              <w:pStyle w:val="BodyText2"/>
              <w:rPr>
                <w:sz w:val="22"/>
                <w:szCs w:val="22"/>
                <w:highlight w:val="yellow"/>
              </w:rPr>
            </w:pPr>
          </w:p>
        </w:tc>
      </w:tr>
      <w:tr w:rsidR="00A60372" w:rsidRPr="00B650D9" w14:paraId="7E845381" w14:textId="77777777" w:rsidTr="00343EC0">
        <w:tc>
          <w:tcPr>
            <w:tcW w:w="2694" w:type="dxa"/>
          </w:tcPr>
          <w:p w14:paraId="25792053" w14:textId="77777777" w:rsidR="003A367D" w:rsidRPr="00B650D9" w:rsidRDefault="003A367D" w:rsidP="00FD6313">
            <w:pPr>
              <w:jc w:val="both"/>
              <w:rPr>
                <w:sz w:val="22"/>
                <w:szCs w:val="22"/>
              </w:rPr>
            </w:pPr>
            <w:r w:rsidRPr="00B650D9">
              <w:rPr>
                <w:sz w:val="22"/>
                <w:szCs w:val="22"/>
              </w:rPr>
              <w:t>a) bugetul de stat, din acesta:</w:t>
            </w:r>
          </w:p>
          <w:p w14:paraId="32D9DBFB" w14:textId="15A036BA" w:rsidR="003A367D" w:rsidRPr="00B650D9" w:rsidRDefault="00CD28D5" w:rsidP="00FD6313">
            <w:pPr>
              <w:jc w:val="both"/>
              <w:rPr>
                <w:sz w:val="22"/>
                <w:szCs w:val="22"/>
              </w:rPr>
            </w:pPr>
            <w:r w:rsidRPr="00B650D9">
              <w:rPr>
                <w:sz w:val="22"/>
                <w:szCs w:val="22"/>
              </w:rPr>
              <w:t xml:space="preserve">(i) </w:t>
            </w:r>
            <w:r w:rsidR="003A367D" w:rsidRPr="00B650D9">
              <w:rPr>
                <w:sz w:val="22"/>
                <w:szCs w:val="22"/>
              </w:rPr>
              <w:t>impozit pe profit</w:t>
            </w:r>
          </w:p>
          <w:p w14:paraId="67C4E169" w14:textId="0BD99910" w:rsidR="003A367D" w:rsidRPr="00B650D9" w:rsidRDefault="00CD28D5" w:rsidP="00FD6313">
            <w:pPr>
              <w:jc w:val="both"/>
              <w:rPr>
                <w:sz w:val="22"/>
                <w:szCs w:val="22"/>
              </w:rPr>
            </w:pPr>
            <w:r w:rsidRPr="00B650D9">
              <w:rPr>
                <w:sz w:val="22"/>
                <w:szCs w:val="22"/>
              </w:rPr>
              <w:t xml:space="preserve">(ii) </w:t>
            </w:r>
            <w:r w:rsidR="003A367D" w:rsidRPr="00B650D9">
              <w:rPr>
                <w:sz w:val="22"/>
                <w:szCs w:val="22"/>
              </w:rPr>
              <w:t>impozit pe venit</w:t>
            </w:r>
          </w:p>
        </w:tc>
        <w:tc>
          <w:tcPr>
            <w:tcW w:w="1058" w:type="dxa"/>
          </w:tcPr>
          <w:p w14:paraId="07086A97" w14:textId="77777777" w:rsidR="003A367D" w:rsidRPr="00B650D9" w:rsidRDefault="003A367D" w:rsidP="00FD6313">
            <w:pPr>
              <w:pStyle w:val="BodyText2"/>
              <w:rPr>
                <w:sz w:val="22"/>
                <w:szCs w:val="22"/>
                <w:highlight w:val="yellow"/>
              </w:rPr>
            </w:pPr>
          </w:p>
        </w:tc>
        <w:tc>
          <w:tcPr>
            <w:tcW w:w="1366" w:type="dxa"/>
          </w:tcPr>
          <w:p w14:paraId="68EDD67B" w14:textId="77777777" w:rsidR="003A367D" w:rsidRPr="00B650D9" w:rsidRDefault="003A367D" w:rsidP="00FD6313">
            <w:pPr>
              <w:pStyle w:val="BodyText2"/>
              <w:rPr>
                <w:sz w:val="22"/>
                <w:szCs w:val="22"/>
                <w:highlight w:val="yellow"/>
              </w:rPr>
            </w:pPr>
          </w:p>
        </w:tc>
        <w:tc>
          <w:tcPr>
            <w:tcW w:w="1466" w:type="dxa"/>
          </w:tcPr>
          <w:p w14:paraId="074A0C4C" w14:textId="77777777" w:rsidR="003A367D" w:rsidRPr="00B650D9" w:rsidRDefault="003A367D" w:rsidP="00FD6313">
            <w:pPr>
              <w:pStyle w:val="BodyText2"/>
              <w:rPr>
                <w:sz w:val="22"/>
                <w:szCs w:val="22"/>
                <w:highlight w:val="yellow"/>
              </w:rPr>
            </w:pPr>
          </w:p>
        </w:tc>
        <w:tc>
          <w:tcPr>
            <w:tcW w:w="1366" w:type="dxa"/>
          </w:tcPr>
          <w:p w14:paraId="3EC66A65" w14:textId="77777777" w:rsidR="003A367D" w:rsidRPr="00B650D9" w:rsidRDefault="003A367D" w:rsidP="00FD6313">
            <w:pPr>
              <w:pStyle w:val="BodyText2"/>
              <w:rPr>
                <w:sz w:val="22"/>
                <w:szCs w:val="22"/>
                <w:highlight w:val="yellow"/>
              </w:rPr>
            </w:pPr>
          </w:p>
        </w:tc>
        <w:tc>
          <w:tcPr>
            <w:tcW w:w="1135" w:type="dxa"/>
          </w:tcPr>
          <w:p w14:paraId="5CEC73AA" w14:textId="77777777" w:rsidR="003A367D" w:rsidRPr="00B650D9" w:rsidRDefault="003A367D" w:rsidP="00FD6313">
            <w:pPr>
              <w:pStyle w:val="BodyText2"/>
              <w:rPr>
                <w:sz w:val="22"/>
                <w:szCs w:val="22"/>
                <w:highlight w:val="yellow"/>
              </w:rPr>
            </w:pPr>
          </w:p>
        </w:tc>
        <w:tc>
          <w:tcPr>
            <w:tcW w:w="1448" w:type="dxa"/>
          </w:tcPr>
          <w:p w14:paraId="761E2BD4" w14:textId="77777777" w:rsidR="003A367D" w:rsidRPr="00B650D9" w:rsidRDefault="003A367D" w:rsidP="00FD6313">
            <w:pPr>
              <w:pStyle w:val="BodyText2"/>
              <w:rPr>
                <w:sz w:val="22"/>
                <w:szCs w:val="22"/>
                <w:highlight w:val="yellow"/>
              </w:rPr>
            </w:pPr>
          </w:p>
        </w:tc>
      </w:tr>
      <w:tr w:rsidR="00A60372" w:rsidRPr="00B650D9" w14:paraId="6771B99C" w14:textId="77777777" w:rsidTr="00343EC0">
        <w:tc>
          <w:tcPr>
            <w:tcW w:w="2694" w:type="dxa"/>
          </w:tcPr>
          <w:p w14:paraId="6A8A0E7F" w14:textId="577483D3" w:rsidR="003A367D" w:rsidRPr="00B650D9" w:rsidRDefault="003A367D" w:rsidP="00FD6313">
            <w:pPr>
              <w:jc w:val="both"/>
              <w:rPr>
                <w:sz w:val="22"/>
                <w:szCs w:val="22"/>
              </w:rPr>
            </w:pPr>
            <w:r w:rsidRPr="00B650D9">
              <w:rPr>
                <w:sz w:val="22"/>
                <w:szCs w:val="22"/>
              </w:rPr>
              <w:t>b) bugete locale:</w:t>
            </w:r>
          </w:p>
          <w:p w14:paraId="3B0FCECB" w14:textId="7AB36B1B" w:rsidR="003A367D" w:rsidRPr="00B650D9" w:rsidRDefault="00CD28D5" w:rsidP="00FD6313">
            <w:pPr>
              <w:jc w:val="both"/>
              <w:rPr>
                <w:sz w:val="22"/>
                <w:szCs w:val="22"/>
              </w:rPr>
            </w:pPr>
            <w:r w:rsidRPr="00B650D9">
              <w:rPr>
                <w:sz w:val="22"/>
                <w:szCs w:val="22"/>
              </w:rPr>
              <w:t xml:space="preserve">(i) </w:t>
            </w:r>
            <w:r w:rsidR="003A367D" w:rsidRPr="00B650D9">
              <w:rPr>
                <w:sz w:val="22"/>
                <w:szCs w:val="22"/>
              </w:rPr>
              <w:t>impozit pe profit</w:t>
            </w:r>
          </w:p>
        </w:tc>
        <w:tc>
          <w:tcPr>
            <w:tcW w:w="1058" w:type="dxa"/>
          </w:tcPr>
          <w:p w14:paraId="687D0BEC" w14:textId="77777777" w:rsidR="003A367D" w:rsidRPr="00B650D9" w:rsidRDefault="003A367D" w:rsidP="00FD6313">
            <w:pPr>
              <w:pStyle w:val="BodyText2"/>
              <w:rPr>
                <w:sz w:val="22"/>
                <w:szCs w:val="22"/>
                <w:highlight w:val="yellow"/>
              </w:rPr>
            </w:pPr>
          </w:p>
        </w:tc>
        <w:tc>
          <w:tcPr>
            <w:tcW w:w="1366" w:type="dxa"/>
          </w:tcPr>
          <w:p w14:paraId="203F5632" w14:textId="77777777" w:rsidR="003A367D" w:rsidRPr="00B650D9" w:rsidRDefault="003A367D" w:rsidP="00FD6313">
            <w:pPr>
              <w:pStyle w:val="BodyText2"/>
              <w:rPr>
                <w:sz w:val="22"/>
                <w:szCs w:val="22"/>
                <w:highlight w:val="yellow"/>
              </w:rPr>
            </w:pPr>
          </w:p>
        </w:tc>
        <w:tc>
          <w:tcPr>
            <w:tcW w:w="1466" w:type="dxa"/>
          </w:tcPr>
          <w:p w14:paraId="38DA8080" w14:textId="77777777" w:rsidR="003A367D" w:rsidRPr="00B650D9" w:rsidRDefault="003A367D" w:rsidP="00FD6313">
            <w:pPr>
              <w:pStyle w:val="BodyText2"/>
              <w:rPr>
                <w:sz w:val="22"/>
                <w:szCs w:val="22"/>
                <w:highlight w:val="yellow"/>
              </w:rPr>
            </w:pPr>
          </w:p>
        </w:tc>
        <w:tc>
          <w:tcPr>
            <w:tcW w:w="1366" w:type="dxa"/>
          </w:tcPr>
          <w:p w14:paraId="31807B27" w14:textId="77777777" w:rsidR="003A367D" w:rsidRPr="00B650D9" w:rsidRDefault="003A367D" w:rsidP="00FD6313">
            <w:pPr>
              <w:pStyle w:val="BodyText2"/>
              <w:rPr>
                <w:sz w:val="22"/>
                <w:szCs w:val="22"/>
                <w:highlight w:val="yellow"/>
              </w:rPr>
            </w:pPr>
          </w:p>
        </w:tc>
        <w:tc>
          <w:tcPr>
            <w:tcW w:w="1135" w:type="dxa"/>
          </w:tcPr>
          <w:p w14:paraId="29015A0A" w14:textId="77777777" w:rsidR="003A367D" w:rsidRPr="00B650D9" w:rsidRDefault="003A367D" w:rsidP="00FD6313">
            <w:pPr>
              <w:pStyle w:val="BodyText2"/>
              <w:rPr>
                <w:sz w:val="22"/>
                <w:szCs w:val="22"/>
                <w:highlight w:val="yellow"/>
              </w:rPr>
            </w:pPr>
          </w:p>
        </w:tc>
        <w:tc>
          <w:tcPr>
            <w:tcW w:w="1448" w:type="dxa"/>
          </w:tcPr>
          <w:p w14:paraId="33E8076D" w14:textId="77777777" w:rsidR="003A367D" w:rsidRPr="00B650D9" w:rsidRDefault="003A367D" w:rsidP="00FD6313">
            <w:pPr>
              <w:pStyle w:val="BodyText2"/>
              <w:rPr>
                <w:sz w:val="22"/>
                <w:szCs w:val="22"/>
                <w:highlight w:val="yellow"/>
              </w:rPr>
            </w:pPr>
          </w:p>
        </w:tc>
      </w:tr>
      <w:tr w:rsidR="00A60372" w:rsidRPr="00B650D9" w14:paraId="3ECF4DE7" w14:textId="77777777" w:rsidTr="00343EC0">
        <w:tc>
          <w:tcPr>
            <w:tcW w:w="2694" w:type="dxa"/>
          </w:tcPr>
          <w:p w14:paraId="454D76E8" w14:textId="401F8F98" w:rsidR="003A367D" w:rsidRPr="00B650D9" w:rsidRDefault="003A367D" w:rsidP="00FD6313">
            <w:pPr>
              <w:jc w:val="both"/>
              <w:rPr>
                <w:sz w:val="22"/>
                <w:szCs w:val="22"/>
              </w:rPr>
            </w:pPr>
            <w:r w:rsidRPr="00B650D9">
              <w:rPr>
                <w:sz w:val="22"/>
                <w:szCs w:val="22"/>
              </w:rPr>
              <w:t>c) bugetul asigurărilor sociale</w:t>
            </w:r>
            <w:r w:rsidR="00CD13F8" w:rsidRPr="00B650D9">
              <w:rPr>
                <w:sz w:val="22"/>
                <w:szCs w:val="22"/>
              </w:rPr>
              <w:t xml:space="preserve"> de stat</w:t>
            </w:r>
          </w:p>
          <w:p w14:paraId="551EFD10" w14:textId="329FFFC6" w:rsidR="003A367D" w:rsidRPr="00B650D9" w:rsidRDefault="00CD28D5" w:rsidP="00FD6313">
            <w:pPr>
              <w:jc w:val="both"/>
              <w:rPr>
                <w:sz w:val="22"/>
                <w:szCs w:val="22"/>
              </w:rPr>
            </w:pPr>
            <w:r w:rsidRPr="00B650D9">
              <w:rPr>
                <w:sz w:val="22"/>
                <w:szCs w:val="22"/>
              </w:rPr>
              <w:t xml:space="preserve">(i) </w:t>
            </w:r>
            <w:r w:rsidR="00695862" w:rsidRPr="00B650D9">
              <w:rPr>
                <w:sz w:val="22"/>
                <w:szCs w:val="22"/>
              </w:rPr>
              <w:t>contribuții</w:t>
            </w:r>
            <w:r w:rsidR="003A367D" w:rsidRPr="00B650D9">
              <w:rPr>
                <w:sz w:val="22"/>
                <w:szCs w:val="22"/>
              </w:rPr>
              <w:t xml:space="preserve"> de asigurări</w:t>
            </w:r>
          </w:p>
        </w:tc>
        <w:tc>
          <w:tcPr>
            <w:tcW w:w="1058" w:type="dxa"/>
          </w:tcPr>
          <w:p w14:paraId="20DF36E4" w14:textId="77777777" w:rsidR="003A367D" w:rsidRPr="00B650D9" w:rsidRDefault="003A367D" w:rsidP="00FD6313">
            <w:pPr>
              <w:pStyle w:val="BodyText2"/>
              <w:rPr>
                <w:sz w:val="22"/>
                <w:szCs w:val="22"/>
                <w:highlight w:val="yellow"/>
              </w:rPr>
            </w:pPr>
          </w:p>
        </w:tc>
        <w:tc>
          <w:tcPr>
            <w:tcW w:w="1366" w:type="dxa"/>
          </w:tcPr>
          <w:p w14:paraId="2E4987C5" w14:textId="77777777" w:rsidR="003A367D" w:rsidRPr="00B650D9" w:rsidRDefault="003A367D" w:rsidP="00FD6313">
            <w:pPr>
              <w:pStyle w:val="BodyText2"/>
              <w:rPr>
                <w:sz w:val="22"/>
                <w:szCs w:val="22"/>
                <w:highlight w:val="yellow"/>
              </w:rPr>
            </w:pPr>
          </w:p>
        </w:tc>
        <w:tc>
          <w:tcPr>
            <w:tcW w:w="1466" w:type="dxa"/>
          </w:tcPr>
          <w:p w14:paraId="55EA5A38" w14:textId="77777777" w:rsidR="003A367D" w:rsidRPr="00B650D9" w:rsidRDefault="003A367D" w:rsidP="00FD6313">
            <w:pPr>
              <w:pStyle w:val="BodyText2"/>
              <w:rPr>
                <w:sz w:val="22"/>
                <w:szCs w:val="22"/>
                <w:highlight w:val="yellow"/>
              </w:rPr>
            </w:pPr>
          </w:p>
        </w:tc>
        <w:tc>
          <w:tcPr>
            <w:tcW w:w="1366" w:type="dxa"/>
          </w:tcPr>
          <w:p w14:paraId="1A940564" w14:textId="77777777" w:rsidR="003A367D" w:rsidRPr="00B650D9" w:rsidRDefault="003A367D" w:rsidP="00FD6313">
            <w:pPr>
              <w:pStyle w:val="BodyText2"/>
              <w:rPr>
                <w:sz w:val="22"/>
                <w:szCs w:val="22"/>
                <w:highlight w:val="yellow"/>
              </w:rPr>
            </w:pPr>
          </w:p>
        </w:tc>
        <w:tc>
          <w:tcPr>
            <w:tcW w:w="1135" w:type="dxa"/>
          </w:tcPr>
          <w:p w14:paraId="3B9F8826" w14:textId="77777777" w:rsidR="003A367D" w:rsidRPr="00B650D9" w:rsidRDefault="003A367D" w:rsidP="00FD6313">
            <w:pPr>
              <w:pStyle w:val="BodyText2"/>
              <w:rPr>
                <w:sz w:val="22"/>
                <w:szCs w:val="22"/>
                <w:highlight w:val="yellow"/>
              </w:rPr>
            </w:pPr>
          </w:p>
        </w:tc>
        <w:tc>
          <w:tcPr>
            <w:tcW w:w="1448" w:type="dxa"/>
          </w:tcPr>
          <w:p w14:paraId="7236E3D5" w14:textId="77777777" w:rsidR="003A367D" w:rsidRPr="00B650D9" w:rsidRDefault="003A367D" w:rsidP="00FD6313">
            <w:pPr>
              <w:pStyle w:val="BodyText2"/>
              <w:rPr>
                <w:sz w:val="22"/>
                <w:szCs w:val="22"/>
                <w:highlight w:val="yellow"/>
              </w:rPr>
            </w:pPr>
          </w:p>
        </w:tc>
      </w:tr>
      <w:tr w:rsidR="00A60372" w:rsidRPr="00B650D9" w14:paraId="3B61ACE7" w14:textId="77777777" w:rsidTr="00343EC0">
        <w:tc>
          <w:tcPr>
            <w:tcW w:w="2694" w:type="dxa"/>
          </w:tcPr>
          <w:p w14:paraId="62FD1E56" w14:textId="77777777" w:rsidR="003A367D" w:rsidRPr="00B650D9" w:rsidRDefault="003A367D" w:rsidP="00FD6313">
            <w:pPr>
              <w:jc w:val="both"/>
              <w:rPr>
                <w:sz w:val="22"/>
                <w:szCs w:val="22"/>
              </w:rPr>
            </w:pPr>
            <w:r w:rsidRPr="00B650D9">
              <w:rPr>
                <w:sz w:val="22"/>
                <w:szCs w:val="22"/>
              </w:rPr>
              <w:t xml:space="preserve">d) </w:t>
            </w:r>
            <w:r w:rsidR="00A20D72" w:rsidRPr="00B650D9">
              <w:rPr>
                <w:sz w:val="22"/>
                <w:szCs w:val="22"/>
              </w:rPr>
              <w:t>alte tipuri de venituri</w:t>
            </w:r>
          </w:p>
          <w:p w14:paraId="5EB8BD87" w14:textId="4527B335" w:rsidR="00A20D72" w:rsidRPr="00B650D9" w:rsidRDefault="00A20D72" w:rsidP="00FD6313">
            <w:pPr>
              <w:jc w:val="both"/>
              <w:rPr>
                <w:sz w:val="22"/>
                <w:szCs w:val="22"/>
              </w:rPr>
            </w:pPr>
            <w:r w:rsidRPr="00B650D9">
              <w:rPr>
                <w:sz w:val="22"/>
                <w:szCs w:val="22"/>
              </w:rPr>
              <w:t>(</w:t>
            </w:r>
            <w:r w:rsidR="00EF284D" w:rsidRPr="00B650D9">
              <w:rPr>
                <w:sz w:val="22"/>
                <w:szCs w:val="22"/>
              </w:rPr>
              <w:t>S</w:t>
            </w:r>
            <w:r w:rsidRPr="00B650D9">
              <w:rPr>
                <w:sz w:val="22"/>
                <w:szCs w:val="22"/>
              </w:rPr>
              <w:t>e va menționa natura acestora</w:t>
            </w:r>
            <w:r w:rsidR="00A82648" w:rsidRPr="00B650D9">
              <w:rPr>
                <w:sz w:val="22"/>
                <w:szCs w:val="22"/>
              </w:rPr>
              <w:t>.</w:t>
            </w:r>
            <w:r w:rsidRPr="00B650D9">
              <w:rPr>
                <w:sz w:val="22"/>
                <w:szCs w:val="22"/>
              </w:rPr>
              <w:t xml:space="preserve">) </w:t>
            </w:r>
          </w:p>
        </w:tc>
        <w:tc>
          <w:tcPr>
            <w:tcW w:w="1058" w:type="dxa"/>
          </w:tcPr>
          <w:p w14:paraId="704BCA51" w14:textId="77777777" w:rsidR="003A367D" w:rsidRPr="00B650D9" w:rsidRDefault="003A367D" w:rsidP="00FD6313">
            <w:pPr>
              <w:pStyle w:val="BodyText2"/>
              <w:rPr>
                <w:sz w:val="22"/>
                <w:szCs w:val="22"/>
                <w:highlight w:val="yellow"/>
              </w:rPr>
            </w:pPr>
          </w:p>
        </w:tc>
        <w:tc>
          <w:tcPr>
            <w:tcW w:w="1366" w:type="dxa"/>
          </w:tcPr>
          <w:p w14:paraId="269D834F" w14:textId="77777777" w:rsidR="003A367D" w:rsidRPr="00B650D9" w:rsidRDefault="003A367D" w:rsidP="00FD6313">
            <w:pPr>
              <w:pStyle w:val="BodyText2"/>
              <w:rPr>
                <w:sz w:val="22"/>
                <w:szCs w:val="22"/>
                <w:highlight w:val="yellow"/>
              </w:rPr>
            </w:pPr>
          </w:p>
        </w:tc>
        <w:tc>
          <w:tcPr>
            <w:tcW w:w="1466" w:type="dxa"/>
          </w:tcPr>
          <w:p w14:paraId="03C3272C" w14:textId="77777777" w:rsidR="003A367D" w:rsidRPr="00B650D9" w:rsidRDefault="003A367D" w:rsidP="00FD6313">
            <w:pPr>
              <w:pStyle w:val="BodyText2"/>
              <w:rPr>
                <w:sz w:val="22"/>
                <w:szCs w:val="22"/>
                <w:highlight w:val="yellow"/>
              </w:rPr>
            </w:pPr>
          </w:p>
        </w:tc>
        <w:tc>
          <w:tcPr>
            <w:tcW w:w="1366" w:type="dxa"/>
          </w:tcPr>
          <w:p w14:paraId="70C282AC" w14:textId="77777777" w:rsidR="003A367D" w:rsidRPr="00B650D9" w:rsidRDefault="003A367D" w:rsidP="00FD6313">
            <w:pPr>
              <w:pStyle w:val="BodyText2"/>
              <w:rPr>
                <w:sz w:val="22"/>
                <w:szCs w:val="22"/>
                <w:highlight w:val="yellow"/>
              </w:rPr>
            </w:pPr>
          </w:p>
        </w:tc>
        <w:tc>
          <w:tcPr>
            <w:tcW w:w="1135" w:type="dxa"/>
          </w:tcPr>
          <w:p w14:paraId="711BE975" w14:textId="77777777" w:rsidR="003A367D" w:rsidRPr="00B650D9" w:rsidRDefault="003A367D" w:rsidP="00FD6313">
            <w:pPr>
              <w:pStyle w:val="BodyText2"/>
              <w:rPr>
                <w:sz w:val="22"/>
                <w:szCs w:val="22"/>
                <w:highlight w:val="yellow"/>
              </w:rPr>
            </w:pPr>
          </w:p>
        </w:tc>
        <w:tc>
          <w:tcPr>
            <w:tcW w:w="1448" w:type="dxa"/>
          </w:tcPr>
          <w:p w14:paraId="56D819C6" w14:textId="77777777" w:rsidR="003A367D" w:rsidRPr="00B650D9" w:rsidRDefault="003A367D" w:rsidP="00FD6313">
            <w:pPr>
              <w:pStyle w:val="BodyText2"/>
              <w:rPr>
                <w:sz w:val="22"/>
                <w:szCs w:val="22"/>
                <w:highlight w:val="yellow"/>
              </w:rPr>
            </w:pPr>
          </w:p>
        </w:tc>
      </w:tr>
      <w:tr w:rsidR="00A60372" w:rsidRPr="00B650D9" w14:paraId="126F1061" w14:textId="77777777" w:rsidTr="00343EC0">
        <w:tc>
          <w:tcPr>
            <w:tcW w:w="2694" w:type="dxa"/>
          </w:tcPr>
          <w:p w14:paraId="1415B230" w14:textId="72A3E85F" w:rsidR="0025682E" w:rsidRPr="00B650D9" w:rsidRDefault="00CD28D5" w:rsidP="00FD6313">
            <w:pPr>
              <w:jc w:val="both"/>
              <w:rPr>
                <w:b/>
                <w:bCs/>
                <w:sz w:val="22"/>
                <w:szCs w:val="22"/>
              </w:rPr>
            </w:pPr>
            <w:r w:rsidRPr="00B650D9">
              <w:rPr>
                <w:b/>
                <w:bCs/>
                <w:sz w:val="22"/>
                <w:szCs w:val="22"/>
              </w:rPr>
              <w:t>4.</w:t>
            </w:r>
            <w:r w:rsidR="00ED5D29" w:rsidRPr="00B650D9">
              <w:rPr>
                <w:b/>
                <w:bCs/>
                <w:sz w:val="22"/>
                <w:szCs w:val="22"/>
              </w:rPr>
              <w:t>2.</w:t>
            </w:r>
            <w:r w:rsidRPr="00B650D9">
              <w:rPr>
                <w:b/>
                <w:bCs/>
                <w:sz w:val="22"/>
                <w:szCs w:val="22"/>
              </w:rPr>
              <w:t xml:space="preserve"> </w:t>
            </w:r>
            <w:r w:rsidR="00ED5D29" w:rsidRPr="00B650D9">
              <w:rPr>
                <w:b/>
                <w:bCs/>
                <w:sz w:val="22"/>
                <w:szCs w:val="22"/>
              </w:rPr>
              <w:t>Modificări ale cheltuielilor bugetare</w:t>
            </w:r>
            <w:r w:rsidR="00A82648" w:rsidRPr="00B650D9">
              <w:rPr>
                <w:b/>
                <w:bCs/>
                <w:sz w:val="22"/>
                <w:szCs w:val="22"/>
              </w:rPr>
              <w:t>, plus/minus,</w:t>
            </w:r>
            <w:r w:rsidR="00ED5D29" w:rsidRPr="00B650D9">
              <w:rPr>
                <w:b/>
                <w:bCs/>
                <w:sz w:val="22"/>
                <w:szCs w:val="22"/>
              </w:rPr>
              <w:t xml:space="preserve"> din care:</w:t>
            </w:r>
          </w:p>
        </w:tc>
        <w:tc>
          <w:tcPr>
            <w:tcW w:w="1058" w:type="dxa"/>
          </w:tcPr>
          <w:p w14:paraId="7BB1C451" w14:textId="3A3864A6" w:rsidR="00E62BA0" w:rsidRPr="00B650D9" w:rsidRDefault="00E62BA0" w:rsidP="00FD6313">
            <w:pPr>
              <w:jc w:val="center"/>
              <w:rPr>
                <w:sz w:val="22"/>
                <w:szCs w:val="22"/>
                <w:highlight w:val="yellow"/>
              </w:rPr>
            </w:pPr>
          </w:p>
        </w:tc>
        <w:tc>
          <w:tcPr>
            <w:tcW w:w="1366" w:type="dxa"/>
          </w:tcPr>
          <w:p w14:paraId="44C5A3FF" w14:textId="75FE5CBB" w:rsidR="00E62BA0" w:rsidRPr="00B650D9" w:rsidRDefault="00E62BA0" w:rsidP="00FD6313">
            <w:pPr>
              <w:jc w:val="center"/>
              <w:rPr>
                <w:sz w:val="22"/>
                <w:szCs w:val="22"/>
                <w:highlight w:val="yellow"/>
              </w:rPr>
            </w:pPr>
          </w:p>
        </w:tc>
        <w:tc>
          <w:tcPr>
            <w:tcW w:w="1466" w:type="dxa"/>
          </w:tcPr>
          <w:p w14:paraId="1702DFD2" w14:textId="6D9B32F2" w:rsidR="00E62BA0" w:rsidRPr="00B650D9" w:rsidRDefault="00E62BA0" w:rsidP="00FD6313">
            <w:pPr>
              <w:jc w:val="center"/>
              <w:rPr>
                <w:sz w:val="22"/>
                <w:szCs w:val="22"/>
                <w:highlight w:val="yellow"/>
              </w:rPr>
            </w:pPr>
          </w:p>
        </w:tc>
        <w:tc>
          <w:tcPr>
            <w:tcW w:w="1366" w:type="dxa"/>
          </w:tcPr>
          <w:p w14:paraId="1D7B38D6" w14:textId="659DB0F9" w:rsidR="00E62BA0" w:rsidRPr="00B650D9" w:rsidRDefault="00E62BA0" w:rsidP="00FD6313">
            <w:pPr>
              <w:jc w:val="center"/>
              <w:rPr>
                <w:sz w:val="22"/>
                <w:szCs w:val="22"/>
                <w:highlight w:val="yellow"/>
              </w:rPr>
            </w:pPr>
          </w:p>
        </w:tc>
        <w:tc>
          <w:tcPr>
            <w:tcW w:w="1135" w:type="dxa"/>
          </w:tcPr>
          <w:p w14:paraId="09F7CD9E" w14:textId="2AFA766B" w:rsidR="00E62BA0" w:rsidRPr="00B650D9" w:rsidRDefault="00E62BA0" w:rsidP="00FD6313">
            <w:pPr>
              <w:jc w:val="center"/>
              <w:rPr>
                <w:sz w:val="22"/>
                <w:szCs w:val="22"/>
                <w:highlight w:val="yellow"/>
              </w:rPr>
            </w:pPr>
          </w:p>
        </w:tc>
        <w:tc>
          <w:tcPr>
            <w:tcW w:w="1448" w:type="dxa"/>
          </w:tcPr>
          <w:p w14:paraId="16493B27" w14:textId="191A8F5C" w:rsidR="00E62BA0" w:rsidRPr="00B650D9" w:rsidRDefault="00E62BA0" w:rsidP="00FD6313">
            <w:pPr>
              <w:jc w:val="center"/>
              <w:rPr>
                <w:sz w:val="22"/>
                <w:szCs w:val="22"/>
                <w:highlight w:val="yellow"/>
              </w:rPr>
            </w:pPr>
          </w:p>
        </w:tc>
      </w:tr>
      <w:tr w:rsidR="00A60372" w:rsidRPr="00B650D9" w14:paraId="408E6817" w14:textId="77777777" w:rsidTr="00343EC0">
        <w:tc>
          <w:tcPr>
            <w:tcW w:w="2694" w:type="dxa"/>
          </w:tcPr>
          <w:p w14:paraId="2D265B20" w14:textId="19563007" w:rsidR="00CD28D5" w:rsidRPr="00B650D9" w:rsidRDefault="00CD28D5" w:rsidP="00FD6313">
            <w:pPr>
              <w:jc w:val="both"/>
              <w:rPr>
                <w:sz w:val="22"/>
                <w:szCs w:val="22"/>
              </w:rPr>
            </w:pPr>
            <w:r w:rsidRPr="00B650D9">
              <w:rPr>
                <w:sz w:val="22"/>
                <w:szCs w:val="22"/>
              </w:rPr>
              <w:t>a) buget de stat, din acesta:</w:t>
            </w:r>
          </w:p>
          <w:p w14:paraId="3382ADB9" w14:textId="31517959" w:rsidR="00CD28D5" w:rsidRPr="00B650D9" w:rsidRDefault="00CD28D5" w:rsidP="00FD6313">
            <w:pPr>
              <w:jc w:val="both"/>
              <w:rPr>
                <w:sz w:val="22"/>
                <w:szCs w:val="22"/>
              </w:rPr>
            </w:pPr>
            <w:r w:rsidRPr="00B650D9">
              <w:rPr>
                <w:sz w:val="22"/>
                <w:szCs w:val="22"/>
              </w:rPr>
              <w:t>(i) cheltuieli de personal</w:t>
            </w:r>
          </w:p>
          <w:p w14:paraId="2AF2C20C" w14:textId="24F90ED4" w:rsidR="00CD28D5" w:rsidRPr="00B650D9" w:rsidRDefault="00CD28D5" w:rsidP="00FD6313">
            <w:pPr>
              <w:jc w:val="both"/>
              <w:rPr>
                <w:sz w:val="22"/>
                <w:szCs w:val="22"/>
              </w:rPr>
            </w:pPr>
            <w:r w:rsidRPr="00B650D9">
              <w:rPr>
                <w:sz w:val="22"/>
                <w:szCs w:val="22"/>
              </w:rPr>
              <w:t>(ii) bunuri şi servicii</w:t>
            </w:r>
          </w:p>
        </w:tc>
        <w:tc>
          <w:tcPr>
            <w:tcW w:w="1058" w:type="dxa"/>
          </w:tcPr>
          <w:p w14:paraId="3E0B1602" w14:textId="77777777" w:rsidR="00CD28D5" w:rsidRPr="00B650D9" w:rsidRDefault="00CD28D5" w:rsidP="00FD6313">
            <w:pPr>
              <w:jc w:val="center"/>
              <w:rPr>
                <w:sz w:val="22"/>
                <w:szCs w:val="22"/>
                <w:highlight w:val="yellow"/>
              </w:rPr>
            </w:pPr>
          </w:p>
        </w:tc>
        <w:tc>
          <w:tcPr>
            <w:tcW w:w="1366" w:type="dxa"/>
          </w:tcPr>
          <w:p w14:paraId="4A5827CA" w14:textId="77777777" w:rsidR="00CD28D5" w:rsidRPr="00B650D9" w:rsidRDefault="00CD28D5" w:rsidP="00FD6313">
            <w:pPr>
              <w:jc w:val="center"/>
              <w:rPr>
                <w:sz w:val="22"/>
                <w:szCs w:val="22"/>
                <w:highlight w:val="yellow"/>
              </w:rPr>
            </w:pPr>
          </w:p>
        </w:tc>
        <w:tc>
          <w:tcPr>
            <w:tcW w:w="1466" w:type="dxa"/>
          </w:tcPr>
          <w:p w14:paraId="32FB3ACA" w14:textId="77777777" w:rsidR="00CD28D5" w:rsidRPr="00B650D9" w:rsidRDefault="00CD28D5" w:rsidP="00FD6313">
            <w:pPr>
              <w:jc w:val="center"/>
              <w:rPr>
                <w:sz w:val="22"/>
                <w:szCs w:val="22"/>
                <w:highlight w:val="yellow"/>
              </w:rPr>
            </w:pPr>
          </w:p>
        </w:tc>
        <w:tc>
          <w:tcPr>
            <w:tcW w:w="1366" w:type="dxa"/>
          </w:tcPr>
          <w:p w14:paraId="6B0B1905" w14:textId="77777777" w:rsidR="00CD28D5" w:rsidRPr="00B650D9" w:rsidRDefault="00CD28D5" w:rsidP="00FD6313">
            <w:pPr>
              <w:jc w:val="center"/>
              <w:rPr>
                <w:sz w:val="22"/>
                <w:szCs w:val="22"/>
                <w:highlight w:val="yellow"/>
              </w:rPr>
            </w:pPr>
          </w:p>
        </w:tc>
        <w:tc>
          <w:tcPr>
            <w:tcW w:w="1135" w:type="dxa"/>
          </w:tcPr>
          <w:p w14:paraId="23CBB327" w14:textId="77777777" w:rsidR="00CD28D5" w:rsidRPr="00B650D9" w:rsidRDefault="00CD28D5" w:rsidP="00FD6313">
            <w:pPr>
              <w:jc w:val="center"/>
              <w:rPr>
                <w:sz w:val="22"/>
                <w:szCs w:val="22"/>
                <w:highlight w:val="yellow"/>
              </w:rPr>
            </w:pPr>
          </w:p>
        </w:tc>
        <w:tc>
          <w:tcPr>
            <w:tcW w:w="1448" w:type="dxa"/>
          </w:tcPr>
          <w:p w14:paraId="58A4AD04" w14:textId="77777777" w:rsidR="00CD28D5" w:rsidRPr="00B650D9" w:rsidRDefault="00CD28D5" w:rsidP="00FD6313">
            <w:pPr>
              <w:jc w:val="center"/>
              <w:rPr>
                <w:sz w:val="22"/>
                <w:szCs w:val="22"/>
                <w:highlight w:val="yellow"/>
              </w:rPr>
            </w:pPr>
          </w:p>
        </w:tc>
      </w:tr>
      <w:tr w:rsidR="00A60372" w:rsidRPr="00B650D9" w14:paraId="247EA305" w14:textId="77777777" w:rsidTr="00343EC0">
        <w:tc>
          <w:tcPr>
            <w:tcW w:w="2694" w:type="dxa"/>
          </w:tcPr>
          <w:p w14:paraId="1413F8FD" w14:textId="15D4A2BF" w:rsidR="00CD28D5" w:rsidRPr="00B650D9" w:rsidRDefault="00CD28D5" w:rsidP="00FD6313">
            <w:pPr>
              <w:jc w:val="both"/>
              <w:rPr>
                <w:sz w:val="22"/>
                <w:szCs w:val="22"/>
              </w:rPr>
            </w:pPr>
            <w:r w:rsidRPr="00B650D9">
              <w:rPr>
                <w:sz w:val="22"/>
                <w:szCs w:val="22"/>
              </w:rPr>
              <w:t>b)</w:t>
            </w:r>
            <w:r w:rsidR="00CD13F8" w:rsidRPr="00B650D9">
              <w:rPr>
                <w:sz w:val="22"/>
                <w:szCs w:val="22"/>
              </w:rPr>
              <w:t xml:space="preserve"> </w:t>
            </w:r>
            <w:r w:rsidRPr="00B650D9">
              <w:rPr>
                <w:sz w:val="22"/>
                <w:szCs w:val="22"/>
              </w:rPr>
              <w:t>bugete locale:</w:t>
            </w:r>
          </w:p>
          <w:p w14:paraId="5D43B430" w14:textId="0375DEBE" w:rsidR="00CD28D5" w:rsidRPr="00B650D9" w:rsidRDefault="00CD28D5" w:rsidP="00FD6313">
            <w:pPr>
              <w:jc w:val="both"/>
              <w:rPr>
                <w:sz w:val="22"/>
                <w:szCs w:val="22"/>
              </w:rPr>
            </w:pPr>
            <w:r w:rsidRPr="00B650D9">
              <w:rPr>
                <w:sz w:val="22"/>
                <w:szCs w:val="22"/>
              </w:rPr>
              <w:t>(i) cheltuieli de personal</w:t>
            </w:r>
          </w:p>
          <w:p w14:paraId="5FAAC7DC" w14:textId="3646E615" w:rsidR="00CD28D5" w:rsidRPr="00B650D9" w:rsidRDefault="00CD28D5" w:rsidP="00FD6313">
            <w:pPr>
              <w:jc w:val="both"/>
              <w:rPr>
                <w:sz w:val="22"/>
                <w:szCs w:val="22"/>
              </w:rPr>
            </w:pPr>
            <w:r w:rsidRPr="00B650D9">
              <w:rPr>
                <w:sz w:val="22"/>
                <w:szCs w:val="22"/>
              </w:rPr>
              <w:t>(ii) bunuri şi servicii</w:t>
            </w:r>
          </w:p>
        </w:tc>
        <w:tc>
          <w:tcPr>
            <w:tcW w:w="1058" w:type="dxa"/>
          </w:tcPr>
          <w:p w14:paraId="35C2339D" w14:textId="77777777" w:rsidR="00CD28D5" w:rsidRPr="00B650D9" w:rsidRDefault="00CD28D5" w:rsidP="00FD6313">
            <w:pPr>
              <w:jc w:val="center"/>
              <w:rPr>
                <w:sz w:val="22"/>
                <w:szCs w:val="22"/>
                <w:highlight w:val="yellow"/>
              </w:rPr>
            </w:pPr>
          </w:p>
        </w:tc>
        <w:tc>
          <w:tcPr>
            <w:tcW w:w="1366" w:type="dxa"/>
          </w:tcPr>
          <w:p w14:paraId="7642EF10" w14:textId="77777777" w:rsidR="00CD28D5" w:rsidRPr="00B650D9" w:rsidRDefault="00CD28D5" w:rsidP="00FD6313">
            <w:pPr>
              <w:jc w:val="center"/>
              <w:rPr>
                <w:sz w:val="22"/>
                <w:szCs w:val="22"/>
                <w:highlight w:val="yellow"/>
              </w:rPr>
            </w:pPr>
          </w:p>
        </w:tc>
        <w:tc>
          <w:tcPr>
            <w:tcW w:w="1466" w:type="dxa"/>
          </w:tcPr>
          <w:p w14:paraId="00DA41A3" w14:textId="77777777" w:rsidR="00CD28D5" w:rsidRPr="00B650D9" w:rsidRDefault="00CD28D5" w:rsidP="00FD6313">
            <w:pPr>
              <w:jc w:val="center"/>
              <w:rPr>
                <w:sz w:val="22"/>
                <w:szCs w:val="22"/>
                <w:highlight w:val="yellow"/>
              </w:rPr>
            </w:pPr>
          </w:p>
        </w:tc>
        <w:tc>
          <w:tcPr>
            <w:tcW w:w="1366" w:type="dxa"/>
          </w:tcPr>
          <w:p w14:paraId="5014B167" w14:textId="77777777" w:rsidR="00CD28D5" w:rsidRPr="00B650D9" w:rsidRDefault="00CD28D5" w:rsidP="00FD6313">
            <w:pPr>
              <w:jc w:val="center"/>
              <w:rPr>
                <w:sz w:val="22"/>
                <w:szCs w:val="22"/>
                <w:highlight w:val="yellow"/>
              </w:rPr>
            </w:pPr>
          </w:p>
        </w:tc>
        <w:tc>
          <w:tcPr>
            <w:tcW w:w="1135" w:type="dxa"/>
          </w:tcPr>
          <w:p w14:paraId="44E6962F" w14:textId="77777777" w:rsidR="00CD28D5" w:rsidRPr="00B650D9" w:rsidRDefault="00CD28D5" w:rsidP="00FD6313">
            <w:pPr>
              <w:jc w:val="center"/>
              <w:rPr>
                <w:sz w:val="22"/>
                <w:szCs w:val="22"/>
                <w:highlight w:val="yellow"/>
              </w:rPr>
            </w:pPr>
          </w:p>
        </w:tc>
        <w:tc>
          <w:tcPr>
            <w:tcW w:w="1448" w:type="dxa"/>
          </w:tcPr>
          <w:p w14:paraId="5D1C5F3E" w14:textId="77777777" w:rsidR="00CD28D5" w:rsidRPr="00B650D9" w:rsidRDefault="00CD28D5" w:rsidP="00FD6313">
            <w:pPr>
              <w:jc w:val="center"/>
              <w:rPr>
                <w:sz w:val="22"/>
                <w:szCs w:val="22"/>
                <w:highlight w:val="yellow"/>
              </w:rPr>
            </w:pPr>
          </w:p>
        </w:tc>
      </w:tr>
      <w:tr w:rsidR="00A60372" w:rsidRPr="00B650D9" w14:paraId="64A76806" w14:textId="77777777" w:rsidTr="00343EC0">
        <w:tc>
          <w:tcPr>
            <w:tcW w:w="2694" w:type="dxa"/>
          </w:tcPr>
          <w:p w14:paraId="30172BDF" w14:textId="0D2320D4" w:rsidR="00CD13F8" w:rsidRPr="00B650D9" w:rsidRDefault="00CD13F8" w:rsidP="00FD6313">
            <w:pPr>
              <w:jc w:val="both"/>
              <w:rPr>
                <w:sz w:val="22"/>
                <w:szCs w:val="22"/>
              </w:rPr>
            </w:pPr>
            <w:r w:rsidRPr="00B650D9">
              <w:rPr>
                <w:sz w:val="22"/>
                <w:szCs w:val="22"/>
              </w:rPr>
              <w:t>c) bugetul asigurărilor sociale de stat:</w:t>
            </w:r>
          </w:p>
          <w:p w14:paraId="03FADADD" w14:textId="1EB62078" w:rsidR="00CD13F8" w:rsidRPr="00B650D9" w:rsidRDefault="00CD13F8" w:rsidP="00FD6313">
            <w:pPr>
              <w:jc w:val="both"/>
              <w:rPr>
                <w:sz w:val="22"/>
                <w:szCs w:val="22"/>
              </w:rPr>
            </w:pPr>
            <w:r w:rsidRPr="00B650D9">
              <w:rPr>
                <w:sz w:val="22"/>
                <w:szCs w:val="22"/>
              </w:rPr>
              <w:t>(i) cheltuieli de personal</w:t>
            </w:r>
          </w:p>
          <w:p w14:paraId="55656529" w14:textId="757B5B4C" w:rsidR="00CD13F8" w:rsidRPr="00B650D9" w:rsidRDefault="00CD13F8" w:rsidP="00FD6313">
            <w:pPr>
              <w:jc w:val="both"/>
              <w:rPr>
                <w:sz w:val="22"/>
                <w:szCs w:val="22"/>
              </w:rPr>
            </w:pPr>
            <w:r w:rsidRPr="00B650D9">
              <w:rPr>
                <w:sz w:val="22"/>
                <w:szCs w:val="22"/>
              </w:rPr>
              <w:t>(ii) bunuri şi servicii</w:t>
            </w:r>
          </w:p>
        </w:tc>
        <w:tc>
          <w:tcPr>
            <w:tcW w:w="1058" w:type="dxa"/>
          </w:tcPr>
          <w:p w14:paraId="2DE6BAAD" w14:textId="77777777" w:rsidR="00CD13F8" w:rsidRPr="00B650D9" w:rsidRDefault="00CD13F8" w:rsidP="00FD6313">
            <w:pPr>
              <w:jc w:val="center"/>
              <w:rPr>
                <w:sz w:val="22"/>
                <w:szCs w:val="22"/>
                <w:highlight w:val="yellow"/>
              </w:rPr>
            </w:pPr>
          </w:p>
        </w:tc>
        <w:tc>
          <w:tcPr>
            <w:tcW w:w="1366" w:type="dxa"/>
          </w:tcPr>
          <w:p w14:paraId="07943E17" w14:textId="77777777" w:rsidR="00CD13F8" w:rsidRPr="00B650D9" w:rsidRDefault="00CD13F8" w:rsidP="00FD6313">
            <w:pPr>
              <w:jc w:val="center"/>
              <w:rPr>
                <w:sz w:val="22"/>
                <w:szCs w:val="22"/>
                <w:highlight w:val="yellow"/>
              </w:rPr>
            </w:pPr>
          </w:p>
        </w:tc>
        <w:tc>
          <w:tcPr>
            <w:tcW w:w="1466" w:type="dxa"/>
          </w:tcPr>
          <w:p w14:paraId="5D1EB785" w14:textId="77777777" w:rsidR="00CD13F8" w:rsidRPr="00B650D9" w:rsidRDefault="00CD13F8" w:rsidP="00FD6313">
            <w:pPr>
              <w:jc w:val="center"/>
              <w:rPr>
                <w:sz w:val="22"/>
                <w:szCs w:val="22"/>
                <w:highlight w:val="yellow"/>
              </w:rPr>
            </w:pPr>
          </w:p>
        </w:tc>
        <w:tc>
          <w:tcPr>
            <w:tcW w:w="1366" w:type="dxa"/>
          </w:tcPr>
          <w:p w14:paraId="7E7347DF" w14:textId="77777777" w:rsidR="00CD13F8" w:rsidRPr="00B650D9" w:rsidRDefault="00CD13F8" w:rsidP="00FD6313">
            <w:pPr>
              <w:jc w:val="center"/>
              <w:rPr>
                <w:sz w:val="22"/>
                <w:szCs w:val="22"/>
                <w:highlight w:val="yellow"/>
              </w:rPr>
            </w:pPr>
          </w:p>
        </w:tc>
        <w:tc>
          <w:tcPr>
            <w:tcW w:w="1135" w:type="dxa"/>
          </w:tcPr>
          <w:p w14:paraId="27993F0F" w14:textId="77777777" w:rsidR="00CD13F8" w:rsidRPr="00B650D9" w:rsidRDefault="00CD13F8" w:rsidP="00FD6313">
            <w:pPr>
              <w:jc w:val="center"/>
              <w:rPr>
                <w:sz w:val="22"/>
                <w:szCs w:val="22"/>
                <w:highlight w:val="yellow"/>
              </w:rPr>
            </w:pPr>
          </w:p>
        </w:tc>
        <w:tc>
          <w:tcPr>
            <w:tcW w:w="1448" w:type="dxa"/>
          </w:tcPr>
          <w:p w14:paraId="3D14DE78" w14:textId="77777777" w:rsidR="00CD13F8" w:rsidRPr="00B650D9" w:rsidRDefault="00CD13F8" w:rsidP="00FD6313">
            <w:pPr>
              <w:jc w:val="center"/>
              <w:rPr>
                <w:sz w:val="22"/>
                <w:szCs w:val="22"/>
                <w:highlight w:val="yellow"/>
              </w:rPr>
            </w:pPr>
          </w:p>
        </w:tc>
      </w:tr>
      <w:tr w:rsidR="00A60372" w:rsidRPr="00B650D9" w14:paraId="5C3A403A" w14:textId="77777777" w:rsidTr="00343EC0">
        <w:tc>
          <w:tcPr>
            <w:tcW w:w="2694" w:type="dxa"/>
          </w:tcPr>
          <w:p w14:paraId="3BF8A849" w14:textId="176DF995" w:rsidR="00EF284D" w:rsidRPr="00B650D9" w:rsidRDefault="00EF284D" w:rsidP="00FD6313">
            <w:pPr>
              <w:jc w:val="both"/>
              <w:rPr>
                <w:sz w:val="22"/>
                <w:szCs w:val="22"/>
              </w:rPr>
            </w:pPr>
            <w:r w:rsidRPr="00B650D9">
              <w:rPr>
                <w:sz w:val="22"/>
                <w:szCs w:val="22"/>
              </w:rPr>
              <w:t xml:space="preserve">d) alte tipuri de </w:t>
            </w:r>
            <w:r w:rsidR="00A82648" w:rsidRPr="00B650D9">
              <w:rPr>
                <w:sz w:val="22"/>
                <w:szCs w:val="22"/>
              </w:rPr>
              <w:t>cheltuieli</w:t>
            </w:r>
          </w:p>
          <w:p w14:paraId="359EE9C4" w14:textId="710C86CB" w:rsidR="00EF284D" w:rsidRPr="00B650D9" w:rsidRDefault="00EF284D" w:rsidP="00FD6313">
            <w:pPr>
              <w:jc w:val="both"/>
              <w:rPr>
                <w:sz w:val="22"/>
                <w:szCs w:val="22"/>
              </w:rPr>
            </w:pPr>
            <w:r w:rsidRPr="00B650D9">
              <w:rPr>
                <w:sz w:val="22"/>
                <w:szCs w:val="22"/>
              </w:rPr>
              <w:t>(Se va menționa natura acestora</w:t>
            </w:r>
            <w:r w:rsidR="00A82648" w:rsidRPr="00B650D9">
              <w:rPr>
                <w:sz w:val="22"/>
                <w:szCs w:val="22"/>
              </w:rPr>
              <w:t>.</w:t>
            </w:r>
            <w:r w:rsidRPr="00B650D9">
              <w:rPr>
                <w:sz w:val="22"/>
                <w:szCs w:val="22"/>
              </w:rPr>
              <w:t>)</w:t>
            </w:r>
          </w:p>
        </w:tc>
        <w:tc>
          <w:tcPr>
            <w:tcW w:w="1058" w:type="dxa"/>
          </w:tcPr>
          <w:p w14:paraId="2C7AC338" w14:textId="77777777" w:rsidR="00EF284D" w:rsidRPr="00B650D9" w:rsidRDefault="00EF284D" w:rsidP="00FD6313">
            <w:pPr>
              <w:jc w:val="center"/>
              <w:rPr>
                <w:sz w:val="22"/>
                <w:szCs w:val="22"/>
                <w:highlight w:val="yellow"/>
              </w:rPr>
            </w:pPr>
          </w:p>
        </w:tc>
        <w:tc>
          <w:tcPr>
            <w:tcW w:w="1366" w:type="dxa"/>
          </w:tcPr>
          <w:p w14:paraId="7CA00BF7" w14:textId="77777777" w:rsidR="00EF284D" w:rsidRPr="00B650D9" w:rsidRDefault="00EF284D" w:rsidP="00FD6313">
            <w:pPr>
              <w:jc w:val="center"/>
              <w:rPr>
                <w:sz w:val="22"/>
                <w:szCs w:val="22"/>
                <w:highlight w:val="yellow"/>
              </w:rPr>
            </w:pPr>
          </w:p>
        </w:tc>
        <w:tc>
          <w:tcPr>
            <w:tcW w:w="1466" w:type="dxa"/>
          </w:tcPr>
          <w:p w14:paraId="22F7EDA8" w14:textId="77777777" w:rsidR="00EF284D" w:rsidRPr="00B650D9" w:rsidRDefault="00EF284D" w:rsidP="00FD6313">
            <w:pPr>
              <w:jc w:val="center"/>
              <w:rPr>
                <w:sz w:val="22"/>
                <w:szCs w:val="22"/>
                <w:highlight w:val="yellow"/>
              </w:rPr>
            </w:pPr>
          </w:p>
        </w:tc>
        <w:tc>
          <w:tcPr>
            <w:tcW w:w="1366" w:type="dxa"/>
          </w:tcPr>
          <w:p w14:paraId="1C65014D" w14:textId="77777777" w:rsidR="00EF284D" w:rsidRPr="00B650D9" w:rsidRDefault="00EF284D" w:rsidP="00FD6313">
            <w:pPr>
              <w:jc w:val="center"/>
              <w:rPr>
                <w:sz w:val="22"/>
                <w:szCs w:val="22"/>
                <w:highlight w:val="yellow"/>
              </w:rPr>
            </w:pPr>
          </w:p>
        </w:tc>
        <w:tc>
          <w:tcPr>
            <w:tcW w:w="1135" w:type="dxa"/>
          </w:tcPr>
          <w:p w14:paraId="69EFB472" w14:textId="77777777" w:rsidR="00EF284D" w:rsidRPr="00B650D9" w:rsidRDefault="00EF284D" w:rsidP="00FD6313">
            <w:pPr>
              <w:jc w:val="center"/>
              <w:rPr>
                <w:sz w:val="22"/>
                <w:szCs w:val="22"/>
                <w:highlight w:val="yellow"/>
              </w:rPr>
            </w:pPr>
          </w:p>
        </w:tc>
        <w:tc>
          <w:tcPr>
            <w:tcW w:w="1448" w:type="dxa"/>
          </w:tcPr>
          <w:p w14:paraId="2BEA7293" w14:textId="77777777" w:rsidR="00EF284D" w:rsidRPr="00B650D9" w:rsidRDefault="00EF284D" w:rsidP="00FD6313">
            <w:pPr>
              <w:jc w:val="center"/>
              <w:rPr>
                <w:sz w:val="22"/>
                <w:szCs w:val="22"/>
                <w:highlight w:val="yellow"/>
              </w:rPr>
            </w:pPr>
          </w:p>
        </w:tc>
      </w:tr>
      <w:tr w:rsidR="00A60372" w:rsidRPr="00B650D9" w14:paraId="6E9F3798" w14:textId="77777777" w:rsidTr="00343EC0">
        <w:tc>
          <w:tcPr>
            <w:tcW w:w="2694" w:type="dxa"/>
          </w:tcPr>
          <w:p w14:paraId="1C49C2EC" w14:textId="77777777" w:rsidR="00A75729" w:rsidRPr="00B650D9" w:rsidRDefault="00A75729" w:rsidP="00FD6313">
            <w:pPr>
              <w:jc w:val="both"/>
              <w:rPr>
                <w:b/>
                <w:bCs/>
                <w:sz w:val="22"/>
                <w:szCs w:val="22"/>
              </w:rPr>
            </w:pPr>
            <w:r w:rsidRPr="00B650D9">
              <w:rPr>
                <w:b/>
                <w:bCs/>
                <w:sz w:val="22"/>
                <w:szCs w:val="22"/>
              </w:rPr>
              <w:t>4.3. Impact financiar, plus/minus, din care:</w:t>
            </w:r>
          </w:p>
          <w:p w14:paraId="656BFCEC" w14:textId="54C7982C" w:rsidR="00A75729" w:rsidRPr="00B650D9" w:rsidRDefault="00A75729" w:rsidP="00FD6313">
            <w:pPr>
              <w:jc w:val="both"/>
              <w:rPr>
                <w:sz w:val="22"/>
                <w:szCs w:val="22"/>
              </w:rPr>
            </w:pPr>
            <w:r w:rsidRPr="00B650D9">
              <w:rPr>
                <w:sz w:val="22"/>
                <w:szCs w:val="22"/>
              </w:rPr>
              <w:t>a) buget de stat</w:t>
            </w:r>
          </w:p>
        </w:tc>
        <w:tc>
          <w:tcPr>
            <w:tcW w:w="1058" w:type="dxa"/>
          </w:tcPr>
          <w:p w14:paraId="7AD2D601" w14:textId="77777777" w:rsidR="00A75729" w:rsidRPr="00B650D9" w:rsidRDefault="00A75729" w:rsidP="00FD6313">
            <w:pPr>
              <w:jc w:val="center"/>
              <w:rPr>
                <w:sz w:val="22"/>
                <w:szCs w:val="22"/>
                <w:highlight w:val="yellow"/>
              </w:rPr>
            </w:pPr>
          </w:p>
        </w:tc>
        <w:tc>
          <w:tcPr>
            <w:tcW w:w="1366" w:type="dxa"/>
          </w:tcPr>
          <w:p w14:paraId="0568D044" w14:textId="77777777" w:rsidR="00A75729" w:rsidRPr="00B650D9" w:rsidRDefault="00A75729" w:rsidP="00FD6313">
            <w:pPr>
              <w:jc w:val="center"/>
              <w:rPr>
                <w:sz w:val="22"/>
                <w:szCs w:val="22"/>
                <w:highlight w:val="yellow"/>
              </w:rPr>
            </w:pPr>
          </w:p>
        </w:tc>
        <w:tc>
          <w:tcPr>
            <w:tcW w:w="1466" w:type="dxa"/>
          </w:tcPr>
          <w:p w14:paraId="210A6366" w14:textId="77777777" w:rsidR="00A75729" w:rsidRPr="00B650D9" w:rsidRDefault="00A75729" w:rsidP="00FD6313">
            <w:pPr>
              <w:jc w:val="center"/>
              <w:rPr>
                <w:sz w:val="22"/>
                <w:szCs w:val="22"/>
                <w:highlight w:val="yellow"/>
              </w:rPr>
            </w:pPr>
          </w:p>
        </w:tc>
        <w:tc>
          <w:tcPr>
            <w:tcW w:w="1366" w:type="dxa"/>
          </w:tcPr>
          <w:p w14:paraId="2693F75B" w14:textId="77777777" w:rsidR="00A75729" w:rsidRPr="00B650D9" w:rsidRDefault="00A75729" w:rsidP="00FD6313">
            <w:pPr>
              <w:jc w:val="center"/>
              <w:rPr>
                <w:sz w:val="22"/>
                <w:szCs w:val="22"/>
                <w:highlight w:val="yellow"/>
              </w:rPr>
            </w:pPr>
          </w:p>
        </w:tc>
        <w:tc>
          <w:tcPr>
            <w:tcW w:w="1135" w:type="dxa"/>
          </w:tcPr>
          <w:p w14:paraId="1585137C" w14:textId="77777777" w:rsidR="00A75729" w:rsidRPr="00B650D9" w:rsidRDefault="00A75729" w:rsidP="00FD6313">
            <w:pPr>
              <w:jc w:val="center"/>
              <w:rPr>
                <w:sz w:val="22"/>
                <w:szCs w:val="22"/>
                <w:highlight w:val="yellow"/>
              </w:rPr>
            </w:pPr>
          </w:p>
        </w:tc>
        <w:tc>
          <w:tcPr>
            <w:tcW w:w="1448" w:type="dxa"/>
          </w:tcPr>
          <w:p w14:paraId="2D494315" w14:textId="77777777" w:rsidR="00A75729" w:rsidRPr="00B650D9" w:rsidRDefault="00A75729" w:rsidP="00FD6313">
            <w:pPr>
              <w:jc w:val="center"/>
              <w:rPr>
                <w:sz w:val="22"/>
                <w:szCs w:val="22"/>
                <w:highlight w:val="yellow"/>
              </w:rPr>
            </w:pPr>
          </w:p>
        </w:tc>
      </w:tr>
      <w:tr w:rsidR="00A60372" w:rsidRPr="00B650D9" w14:paraId="3177FEF7" w14:textId="77777777" w:rsidTr="00343EC0">
        <w:tc>
          <w:tcPr>
            <w:tcW w:w="2694" w:type="dxa"/>
          </w:tcPr>
          <w:p w14:paraId="33908C4A" w14:textId="118E34DE" w:rsidR="00A75729" w:rsidRPr="00B650D9" w:rsidRDefault="00A75729" w:rsidP="00FD6313">
            <w:pPr>
              <w:jc w:val="both"/>
              <w:rPr>
                <w:sz w:val="22"/>
                <w:szCs w:val="22"/>
              </w:rPr>
            </w:pPr>
            <w:r w:rsidRPr="00B650D9">
              <w:rPr>
                <w:sz w:val="22"/>
                <w:szCs w:val="22"/>
              </w:rPr>
              <w:t>b) bugete locale</w:t>
            </w:r>
          </w:p>
        </w:tc>
        <w:tc>
          <w:tcPr>
            <w:tcW w:w="1058" w:type="dxa"/>
          </w:tcPr>
          <w:p w14:paraId="4B62CC0C" w14:textId="77777777" w:rsidR="00A75729" w:rsidRPr="00B650D9" w:rsidRDefault="00A75729" w:rsidP="00FD6313">
            <w:pPr>
              <w:jc w:val="center"/>
              <w:rPr>
                <w:sz w:val="22"/>
                <w:szCs w:val="22"/>
                <w:highlight w:val="yellow"/>
              </w:rPr>
            </w:pPr>
          </w:p>
        </w:tc>
        <w:tc>
          <w:tcPr>
            <w:tcW w:w="1366" w:type="dxa"/>
          </w:tcPr>
          <w:p w14:paraId="283AC80B" w14:textId="77777777" w:rsidR="00A75729" w:rsidRPr="00B650D9" w:rsidRDefault="00A75729" w:rsidP="00FD6313">
            <w:pPr>
              <w:jc w:val="center"/>
              <w:rPr>
                <w:sz w:val="22"/>
                <w:szCs w:val="22"/>
                <w:highlight w:val="yellow"/>
              </w:rPr>
            </w:pPr>
          </w:p>
        </w:tc>
        <w:tc>
          <w:tcPr>
            <w:tcW w:w="1466" w:type="dxa"/>
          </w:tcPr>
          <w:p w14:paraId="7219261C" w14:textId="77777777" w:rsidR="00A75729" w:rsidRPr="00B650D9" w:rsidRDefault="00A75729" w:rsidP="00FD6313">
            <w:pPr>
              <w:jc w:val="center"/>
              <w:rPr>
                <w:sz w:val="22"/>
                <w:szCs w:val="22"/>
                <w:highlight w:val="yellow"/>
              </w:rPr>
            </w:pPr>
          </w:p>
        </w:tc>
        <w:tc>
          <w:tcPr>
            <w:tcW w:w="1366" w:type="dxa"/>
          </w:tcPr>
          <w:p w14:paraId="49D7F163" w14:textId="77777777" w:rsidR="00A75729" w:rsidRPr="00B650D9" w:rsidRDefault="00A75729" w:rsidP="00FD6313">
            <w:pPr>
              <w:jc w:val="center"/>
              <w:rPr>
                <w:sz w:val="22"/>
                <w:szCs w:val="22"/>
                <w:highlight w:val="yellow"/>
              </w:rPr>
            </w:pPr>
          </w:p>
        </w:tc>
        <w:tc>
          <w:tcPr>
            <w:tcW w:w="1135" w:type="dxa"/>
          </w:tcPr>
          <w:p w14:paraId="7C544E7C" w14:textId="77777777" w:rsidR="00A75729" w:rsidRPr="00B650D9" w:rsidRDefault="00A75729" w:rsidP="00FD6313">
            <w:pPr>
              <w:jc w:val="center"/>
              <w:rPr>
                <w:sz w:val="22"/>
                <w:szCs w:val="22"/>
                <w:highlight w:val="yellow"/>
              </w:rPr>
            </w:pPr>
          </w:p>
        </w:tc>
        <w:tc>
          <w:tcPr>
            <w:tcW w:w="1448" w:type="dxa"/>
          </w:tcPr>
          <w:p w14:paraId="4953DDFD" w14:textId="77777777" w:rsidR="00A75729" w:rsidRPr="00B650D9" w:rsidRDefault="00A75729" w:rsidP="00FD6313">
            <w:pPr>
              <w:jc w:val="center"/>
              <w:rPr>
                <w:sz w:val="22"/>
                <w:szCs w:val="22"/>
                <w:highlight w:val="yellow"/>
              </w:rPr>
            </w:pPr>
          </w:p>
        </w:tc>
      </w:tr>
      <w:tr w:rsidR="00A60372" w:rsidRPr="00B650D9" w14:paraId="4B985901" w14:textId="77777777" w:rsidTr="00343EC0">
        <w:tc>
          <w:tcPr>
            <w:tcW w:w="2694" w:type="dxa"/>
          </w:tcPr>
          <w:p w14:paraId="41F94191" w14:textId="4D675AF2" w:rsidR="00A75729" w:rsidRPr="00B650D9" w:rsidRDefault="00A75729" w:rsidP="00FD6313">
            <w:pPr>
              <w:jc w:val="both"/>
              <w:rPr>
                <w:b/>
                <w:bCs/>
                <w:sz w:val="22"/>
                <w:szCs w:val="22"/>
              </w:rPr>
            </w:pPr>
            <w:r w:rsidRPr="00B650D9">
              <w:rPr>
                <w:b/>
                <w:bCs/>
                <w:sz w:val="22"/>
                <w:szCs w:val="22"/>
              </w:rPr>
              <w:t>4.4. Propuneri pentru acoperirea creşterii cheltuielilor bugetare</w:t>
            </w:r>
          </w:p>
        </w:tc>
        <w:tc>
          <w:tcPr>
            <w:tcW w:w="1058" w:type="dxa"/>
          </w:tcPr>
          <w:p w14:paraId="12553E7B" w14:textId="77777777" w:rsidR="00A75729" w:rsidRPr="00B650D9" w:rsidRDefault="00A75729" w:rsidP="00FD6313">
            <w:pPr>
              <w:jc w:val="center"/>
              <w:rPr>
                <w:sz w:val="22"/>
                <w:szCs w:val="22"/>
                <w:highlight w:val="yellow"/>
              </w:rPr>
            </w:pPr>
          </w:p>
        </w:tc>
        <w:tc>
          <w:tcPr>
            <w:tcW w:w="1366" w:type="dxa"/>
          </w:tcPr>
          <w:p w14:paraId="6B4AB040" w14:textId="77777777" w:rsidR="00A75729" w:rsidRPr="00B650D9" w:rsidRDefault="00A75729" w:rsidP="00FD6313">
            <w:pPr>
              <w:jc w:val="center"/>
              <w:rPr>
                <w:sz w:val="22"/>
                <w:szCs w:val="22"/>
                <w:highlight w:val="yellow"/>
              </w:rPr>
            </w:pPr>
          </w:p>
        </w:tc>
        <w:tc>
          <w:tcPr>
            <w:tcW w:w="1466" w:type="dxa"/>
          </w:tcPr>
          <w:p w14:paraId="2B58709A" w14:textId="77777777" w:rsidR="00A75729" w:rsidRPr="00B650D9" w:rsidRDefault="00A75729" w:rsidP="00FD6313">
            <w:pPr>
              <w:jc w:val="center"/>
              <w:rPr>
                <w:sz w:val="22"/>
                <w:szCs w:val="22"/>
                <w:highlight w:val="yellow"/>
              </w:rPr>
            </w:pPr>
          </w:p>
        </w:tc>
        <w:tc>
          <w:tcPr>
            <w:tcW w:w="1366" w:type="dxa"/>
          </w:tcPr>
          <w:p w14:paraId="7AE48667" w14:textId="77777777" w:rsidR="00A75729" w:rsidRPr="00B650D9" w:rsidRDefault="00A75729" w:rsidP="00FD6313">
            <w:pPr>
              <w:jc w:val="center"/>
              <w:rPr>
                <w:sz w:val="22"/>
                <w:szCs w:val="22"/>
                <w:highlight w:val="yellow"/>
              </w:rPr>
            </w:pPr>
          </w:p>
        </w:tc>
        <w:tc>
          <w:tcPr>
            <w:tcW w:w="1135" w:type="dxa"/>
          </w:tcPr>
          <w:p w14:paraId="2C05220B" w14:textId="77777777" w:rsidR="00A75729" w:rsidRPr="00B650D9" w:rsidRDefault="00A75729" w:rsidP="00FD6313">
            <w:pPr>
              <w:jc w:val="center"/>
              <w:rPr>
                <w:sz w:val="22"/>
                <w:szCs w:val="22"/>
                <w:highlight w:val="yellow"/>
              </w:rPr>
            </w:pPr>
          </w:p>
        </w:tc>
        <w:tc>
          <w:tcPr>
            <w:tcW w:w="1448" w:type="dxa"/>
          </w:tcPr>
          <w:p w14:paraId="5BF7C6F4" w14:textId="77777777" w:rsidR="00A75729" w:rsidRPr="00B650D9" w:rsidRDefault="00A75729" w:rsidP="00FD6313">
            <w:pPr>
              <w:jc w:val="center"/>
              <w:rPr>
                <w:sz w:val="22"/>
                <w:szCs w:val="22"/>
                <w:highlight w:val="yellow"/>
              </w:rPr>
            </w:pPr>
          </w:p>
        </w:tc>
      </w:tr>
      <w:tr w:rsidR="00A60372" w:rsidRPr="00B650D9" w14:paraId="0936FEC1" w14:textId="77777777" w:rsidTr="00343EC0">
        <w:tc>
          <w:tcPr>
            <w:tcW w:w="2694" w:type="dxa"/>
          </w:tcPr>
          <w:p w14:paraId="31602873" w14:textId="19763228" w:rsidR="00A75729" w:rsidRPr="00B650D9" w:rsidRDefault="00A75729" w:rsidP="00FD6313">
            <w:pPr>
              <w:jc w:val="both"/>
              <w:rPr>
                <w:b/>
                <w:bCs/>
                <w:sz w:val="22"/>
                <w:szCs w:val="22"/>
              </w:rPr>
            </w:pPr>
            <w:r w:rsidRPr="00B650D9">
              <w:rPr>
                <w:b/>
                <w:bCs/>
                <w:sz w:val="22"/>
                <w:szCs w:val="22"/>
              </w:rPr>
              <w:lastRenderedPageBreak/>
              <w:t>4.5. Propuneri pentru a compensa reducerea veniturilor bugetare</w:t>
            </w:r>
          </w:p>
        </w:tc>
        <w:tc>
          <w:tcPr>
            <w:tcW w:w="1058" w:type="dxa"/>
          </w:tcPr>
          <w:p w14:paraId="50FCA196" w14:textId="77777777" w:rsidR="00A75729" w:rsidRPr="00B650D9" w:rsidRDefault="00A75729" w:rsidP="00FD6313">
            <w:pPr>
              <w:jc w:val="center"/>
              <w:rPr>
                <w:sz w:val="22"/>
                <w:szCs w:val="22"/>
              </w:rPr>
            </w:pPr>
          </w:p>
        </w:tc>
        <w:tc>
          <w:tcPr>
            <w:tcW w:w="1366" w:type="dxa"/>
          </w:tcPr>
          <w:p w14:paraId="06CFE138" w14:textId="77777777" w:rsidR="00A75729" w:rsidRPr="00B650D9" w:rsidRDefault="00A75729" w:rsidP="00FD6313">
            <w:pPr>
              <w:jc w:val="center"/>
              <w:rPr>
                <w:sz w:val="22"/>
                <w:szCs w:val="22"/>
              </w:rPr>
            </w:pPr>
          </w:p>
        </w:tc>
        <w:tc>
          <w:tcPr>
            <w:tcW w:w="1466" w:type="dxa"/>
          </w:tcPr>
          <w:p w14:paraId="6FFFE022" w14:textId="77777777" w:rsidR="00A75729" w:rsidRPr="00B650D9" w:rsidRDefault="00A75729" w:rsidP="00FD6313">
            <w:pPr>
              <w:jc w:val="center"/>
              <w:rPr>
                <w:sz w:val="22"/>
                <w:szCs w:val="22"/>
              </w:rPr>
            </w:pPr>
          </w:p>
        </w:tc>
        <w:tc>
          <w:tcPr>
            <w:tcW w:w="1366" w:type="dxa"/>
          </w:tcPr>
          <w:p w14:paraId="46465A6F" w14:textId="77777777" w:rsidR="00A75729" w:rsidRPr="00B650D9" w:rsidRDefault="00A75729" w:rsidP="00FD6313">
            <w:pPr>
              <w:jc w:val="center"/>
              <w:rPr>
                <w:sz w:val="22"/>
                <w:szCs w:val="22"/>
              </w:rPr>
            </w:pPr>
          </w:p>
        </w:tc>
        <w:tc>
          <w:tcPr>
            <w:tcW w:w="1135" w:type="dxa"/>
          </w:tcPr>
          <w:p w14:paraId="14082553" w14:textId="77777777" w:rsidR="00A75729" w:rsidRPr="00B650D9" w:rsidRDefault="00A75729" w:rsidP="00FD6313">
            <w:pPr>
              <w:jc w:val="center"/>
              <w:rPr>
                <w:sz w:val="22"/>
                <w:szCs w:val="22"/>
              </w:rPr>
            </w:pPr>
          </w:p>
        </w:tc>
        <w:tc>
          <w:tcPr>
            <w:tcW w:w="1448" w:type="dxa"/>
          </w:tcPr>
          <w:p w14:paraId="178CA231" w14:textId="77777777" w:rsidR="00A75729" w:rsidRPr="00B650D9" w:rsidRDefault="00A75729" w:rsidP="00FD6313">
            <w:pPr>
              <w:jc w:val="center"/>
              <w:rPr>
                <w:sz w:val="22"/>
                <w:szCs w:val="22"/>
              </w:rPr>
            </w:pPr>
          </w:p>
        </w:tc>
      </w:tr>
      <w:tr w:rsidR="00A60372" w:rsidRPr="00B650D9" w14:paraId="153D0F09" w14:textId="77777777" w:rsidTr="00343EC0">
        <w:tc>
          <w:tcPr>
            <w:tcW w:w="2694" w:type="dxa"/>
          </w:tcPr>
          <w:p w14:paraId="4E7FCDBB" w14:textId="336B0E28" w:rsidR="00A75729" w:rsidRPr="00B650D9" w:rsidRDefault="00A75729" w:rsidP="00FD6313">
            <w:pPr>
              <w:jc w:val="both"/>
              <w:rPr>
                <w:b/>
                <w:bCs/>
                <w:sz w:val="22"/>
                <w:szCs w:val="22"/>
              </w:rPr>
            </w:pPr>
            <w:r w:rsidRPr="00B650D9">
              <w:rPr>
                <w:b/>
                <w:bCs/>
                <w:sz w:val="22"/>
                <w:szCs w:val="22"/>
              </w:rPr>
              <w:t>4.6. Calcule detaliate privind fundamentarea modificărilor  veniturilor şi/sau cheltuielilor bugetare</w:t>
            </w:r>
          </w:p>
        </w:tc>
        <w:tc>
          <w:tcPr>
            <w:tcW w:w="1058" w:type="dxa"/>
          </w:tcPr>
          <w:p w14:paraId="18046DC1" w14:textId="77777777" w:rsidR="00A75729" w:rsidRPr="00B650D9" w:rsidRDefault="00A75729" w:rsidP="00FD6313">
            <w:pPr>
              <w:jc w:val="center"/>
              <w:rPr>
                <w:sz w:val="22"/>
                <w:szCs w:val="22"/>
              </w:rPr>
            </w:pPr>
          </w:p>
        </w:tc>
        <w:tc>
          <w:tcPr>
            <w:tcW w:w="1366" w:type="dxa"/>
          </w:tcPr>
          <w:p w14:paraId="7CF35163" w14:textId="77777777" w:rsidR="00A75729" w:rsidRPr="00B650D9" w:rsidRDefault="00A75729" w:rsidP="00FD6313">
            <w:pPr>
              <w:jc w:val="center"/>
              <w:rPr>
                <w:sz w:val="22"/>
                <w:szCs w:val="22"/>
              </w:rPr>
            </w:pPr>
          </w:p>
        </w:tc>
        <w:tc>
          <w:tcPr>
            <w:tcW w:w="1466" w:type="dxa"/>
          </w:tcPr>
          <w:p w14:paraId="1D863FB9" w14:textId="77777777" w:rsidR="00A75729" w:rsidRPr="00B650D9" w:rsidRDefault="00A75729" w:rsidP="00FD6313">
            <w:pPr>
              <w:jc w:val="center"/>
              <w:rPr>
                <w:sz w:val="22"/>
                <w:szCs w:val="22"/>
              </w:rPr>
            </w:pPr>
          </w:p>
        </w:tc>
        <w:tc>
          <w:tcPr>
            <w:tcW w:w="1366" w:type="dxa"/>
          </w:tcPr>
          <w:p w14:paraId="42476051" w14:textId="77777777" w:rsidR="00A75729" w:rsidRPr="00B650D9" w:rsidRDefault="00A75729" w:rsidP="00FD6313">
            <w:pPr>
              <w:jc w:val="center"/>
              <w:rPr>
                <w:sz w:val="22"/>
                <w:szCs w:val="22"/>
              </w:rPr>
            </w:pPr>
          </w:p>
        </w:tc>
        <w:tc>
          <w:tcPr>
            <w:tcW w:w="1135" w:type="dxa"/>
          </w:tcPr>
          <w:p w14:paraId="4746E189" w14:textId="77777777" w:rsidR="00A75729" w:rsidRPr="00B650D9" w:rsidRDefault="00A75729" w:rsidP="00FD6313">
            <w:pPr>
              <w:jc w:val="center"/>
              <w:rPr>
                <w:sz w:val="22"/>
                <w:szCs w:val="22"/>
              </w:rPr>
            </w:pPr>
          </w:p>
        </w:tc>
        <w:tc>
          <w:tcPr>
            <w:tcW w:w="1448" w:type="dxa"/>
          </w:tcPr>
          <w:p w14:paraId="05472402" w14:textId="77777777" w:rsidR="00A75729" w:rsidRPr="00B650D9" w:rsidRDefault="00A75729" w:rsidP="00FD6313">
            <w:pPr>
              <w:jc w:val="center"/>
              <w:rPr>
                <w:sz w:val="22"/>
                <w:szCs w:val="22"/>
              </w:rPr>
            </w:pPr>
          </w:p>
        </w:tc>
      </w:tr>
      <w:tr w:rsidR="00A60372" w:rsidRPr="00B650D9" w14:paraId="260B3CE9" w14:textId="77777777" w:rsidTr="00343EC0">
        <w:tc>
          <w:tcPr>
            <w:tcW w:w="10533" w:type="dxa"/>
            <w:gridSpan w:val="7"/>
          </w:tcPr>
          <w:p w14:paraId="38A65360" w14:textId="7BB19CF9" w:rsidR="00A75729" w:rsidRPr="00B650D9" w:rsidRDefault="00A75729" w:rsidP="00FD6313">
            <w:pPr>
              <w:spacing w:after="120"/>
              <w:jc w:val="both"/>
              <w:rPr>
                <w:b/>
                <w:bCs/>
                <w:sz w:val="22"/>
                <w:szCs w:val="22"/>
              </w:rPr>
            </w:pPr>
            <w:r w:rsidRPr="00B650D9">
              <w:rPr>
                <w:b/>
                <w:bCs/>
                <w:sz w:val="22"/>
                <w:szCs w:val="22"/>
              </w:rPr>
              <w:t>4.7. Prezentarea, în cazul proiectelor de acte normative</w:t>
            </w:r>
            <w:r w:rsidR="00A60FAE" w:rsidRPr="00B650D9">
              <w:rPr>
                <w:b/>
                <w:bCs/>
                <w:sz w:val="22"/>
                <w:szCs w:val="22"/>
              </w:rPr>
              <w:t xml:space="preserve"> a căror adaptare atrage majorarea cheltuielilor bugetare, a următoarelor documente:</w:t>
            </w:r>
          </w:p>
          <w:p w14:paraId="67DFFAEF" w14:textId="350B0C6A" w:rsidR="00A60FAE" w:rsidRPr="00B650D9" w:rsidRDefault="00A60FAE" w:rsidP="00FD6313">
            <w:pPr>
              <w:spacing w:after="120"/>
              <w:jc w:val="both"/>
              <w:rPr>
                <w:sz w:val="22"/>
                <w:szCs w:val="22"/>
              </w:rPr>
            </w:pPr>
            <w:r w:rsidRPr="00B650D9">
              <w:rPr>
                <w:sz w:val="22"/>
                <w:szCs w:val="22"/>
              </w:rPr>
              <w:t>a) fișa financiară prevăzută la art. 15 din Legea nr. 500/2002 privind finanțele publice, cu modificările și completările ulterioare, însoțită de ipotezele și metodologia de calcul utilizată;</w:t>
            </w:r>
          </w:p>
          <w:p w14:paraId="699F79A9" w14:textId="3858F0A9" w:rsidR="00A60FAE" w:rsidRPr="00B650D9" w:rsidRDefault="00A60FAE" w:rsidP="00FD6313">
            <w:pPr>
              <w:spacing w:after="120"/>
              <w:jc w:val="both"/>
              <w:rPr>
                <w:sz w:val="22"/>
                <w:szCs w:val="22"/>
                <w:highlight w:val="yellow"/>
              </w:rPr>
            </w:pPr>
            <w:r w:rsidRPr="00B650D9">
              <w:rPr>
                <w:sz w:val="22"/>
                <w:szCs w:val="22"/>
              </w:rPr>
              <w:t xml:space="preserve">b) declarație conform căreia majorarea de cheltuială respectivă este compatibilă cu obiectivele și prioritățile strategice specificate în strategia fiscal-bugetară, cu legea bugetară anuală și cu plafoanele </w:t>
            </w:r>
            <w:r w:rsidR="00A82648" w:rsidRPr="00B650D9">
              <w:rPr>
                <w:sz w:val="22"/>
                <w:szCs w:val="22"/>
              </w:rPr>
              <w:t xml:space="preserve">de cheltuieli </w:t>
            </w:r>
            <w:r w:rsidRPr="00B650D9">
              <w:rPr>
                <w:sz w:val="22"/>
                <w:szCs w:val="22"/>
              </w:rPr>
              <w:t>prezentate în strategia fiscal-bugetară.</w:t>
            </w:r>
          </w:p>
        </w:tc>
      </w:tr>
      <w:tr w:rsidR="00A60372" w:rsidRPr="00B650D9" w14:paraId="675CE50B" w14:textId="77777777" w:rsidTr="00343EC0">
        <w:tc>
          <w:tcPr>
            <w:tcW w:w="10533" w:type="dxa"/>
            <w:gridSpan w:val="7"/>
          </w:tcPr>
          <w:p w14:paraId="54C419F5" w14:textId="77777777" w:rsidR="00B4537B" w:rsidRPr="00B650D9" w:rsidRDefault="00B4537B" w:rsidP="00FD6313">
            <w:pPr>
              <w:spacing w:after="120"/>
              <w:rPr>
                <w:b/>
                <w:bCs/>
                <w:sz w:val="22"/>
                <w:szCs w:val="22"/>
              </w:rPr>
            </w:pPr>
            <w:r w:rsidRPr="00B650D9">
              <w:rPr>
                <w:b/>
                <w:bCs/>
                <w:sz w:val="22"/>
                <w:szCs w:val="22"/>
              </w:rPr>
              <w:t>4.8. Alte informații</w:t>
            </w:r>
          </w:p>
          <w:p w14:paraId="64B74EF4" w14:textId="1F176ED0" w:rsidR="00723488" w:rsidRPr="00B650D9" w:rsidRDefault="00723488" w:rsidP="00FD6313">
            <w:pPr>
              <w:spacing w:after="120"/>
              <w:rPr>
                <w:sz w:val="22"/>
                <w:szCs w:val="22"/>
              </w:rPr>
            </w:pPr>
            <w:r w:rsidRPr="00B650D9">
              <w:rPr>
                <w:sz w:val="22"/>
                <w:szCs w:val="22"/>
              </w:rPr>
              <w:t>Nu au fost identificate</w:t>
            </w:r>
          </w:p>
        </w:tc>
      </w:tr>
    </w:tbl>
    <w:p w14:paraId="1F6057EB" w14:textId="39063F27" w:rsidR="00D97666" w:rsidRPr="00B650D9" w:rsidRDefault="00670C79" w:rsidP="004E2DB8">
      <w:pPr>
        <w:spacing w:after="120"/>
        <w:jc w:val="both"/>
        <w:rPr>
          <w:b/>
          <w:highlight w:val="yellow"/>
        </w:rPr>
      </w:pPr>
      <w:r w:rsidRPr="00B650D9">
        <w:rPr>
          <w:b/>
          <w:highlight w:val="yellow"/>
        </w:rPr>
        <w:t xml:space="preserve">   </w:t>
      </w:r>
    </w:p>
    <w:p w14:paraId="777ED2E4" w14:textId="7D6434EE" w:rsidR="00B4537B" w:rsidRPr="00B650D9" w:rsidRDefault="0053303E" w:rsidP="004E2DB8">
      <w:pPr>
        <w:spacing w:after="120"/>
        <w:ind w:firstLine="720"/>
        <w:jc w:val="center"/>
        <w:rPr>
          <w:b/>
        </w:rPr>
      </w:pPr>
      <w:r w:rsidRPr="00B650D9">
        <w:rPr>
          <w:b/>
        </w:rPr>
        <w:t>Secțiunea</w:t>
      </w:r>
      <w:r w:rsidR="00670C79" w:rsidRPr="00B650D9">
        <w:rPr>
          <w:b/>
        </w:rPr>
        <w:t xml:space="preserve"> a 5-a</w:t>
      </w:r>
    </w:p>
    <w:p w14:paraId="15A0C926" w14:textId="03060E2C" w:rsidR="00BF6BBB" w:rsidRPr="00B650D9" w:rsidRDefault="00670C79" w:rsidP="00500692">
      <w:pPr>
        <w:spacing w:after="120"/>
        <w:ind w:firstLine="720"/>
        <w:jc w:val="center"/>
        <w:rPr>
          <w:b/>
        </w:rPr>
      </w:pPr>
      <w:r w:rsidRPr="00B650D9">
        <w:rPr>
          <w:b/>
        </w:rPr>
        <w:t xml:space="preserve">Efectele proiectului de act normativ asupra </w:t>
      </w:r>
      <w:r w:rsidR="0053303E" w:rsidRPr="00B650D9">
        <w:rPr>
          <w:b/>
        </w:rPr>
        <w:t>legislației</w:t>
      </w:r>
      <w:r w:rsidRPr="00B650D9">
        <w:rPr>
          <w:b/>
        </w:rPr>
        <w:t xml:space="preserve"> în vigoare</w:t>
      </w:r>
    </w:p>
    <w:p w14:paraId="1A5A54CD" w14:textId="77777777" w:rsidR="00E23F3A" w:rsidRPr="00B650D9" w:rsidRDefault="00E23F3A" w:rsidP="00500692">
      <w:pPr>
        <w:spacing w:after="120"/>
        <w:ind w:firstLine="720"/>
        <w:jc w:val="center"/>
        <w:rPr>
          <w:b/>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A60372" w:rsidRPr="00B650D9" w14:paraId="327176B4" w14:textId="77777777" w:rsidTr="00B400EE">
        <w:trPr>
          <w:trHeight w:val="561"/>
        </w:trPr>
        <w:tc>
          <w:tcPr>
            <w:tcW w:w="10533" w:type="dxa"/>
          </w:tcPr>
          <w:p w14:paraId="4F9076D7" w14:textId="3B626545" w:rsidR="00973701" w:rsidRPr="00B650D9" w:rsidRDefault="00973701" w:rsidP="004E2DB8">
            <w:pPr>
              <w:spacing w:after="120"/>
              <w:jc w:val="both"/>
              <w:rPr>
                <w:b/>
                <w:bCs/>
                <w:sz w:val="23"/>
                <w:szCs w:val="23"/>
              </w:rPr>
            </w:pPr>
            <w:r w:rsidRPr="00B650D9">
              <w:rPr>
                <w:b/>
                <w:bCs/>
                <w:sz w:val="23"/>
                <w:szCs w:val="23"/>
              </w:rPr>
              <w:t>5.1. Măsuri normative necesare pentru aplicarea prevederilor proiectului de act normativ</w:t>
            </w:r>
          </w:p>
          <w:p w14:paraId="48D3D9AA" w14:textId="34FC7C84" w:rsidR="00723488" w:rsidRPr="00B650D9" w:rsidRDefault="00723488" w:rsidP="004E2DB8">
            <w:pPr>
              <w:spacing w:after="120"/>
              <w:jc w:val="both"/>
              <w:rPr>
                <w:sz w:val="23"/>
                <w:szCs w:val="23"/>
              </w:rPr>
            </w:pPr>
            <w:r w:rsidRPr="00B650D9">
              <w:rPr>
                <w:sz w:val="23"/>
                <w:szCs w:val="23"/>
              </w:rPr>
              <w:t>Nu este cazul</w:t>
            </w:r>
            <w:r w:rsidR="00012F4C" w:rsidRPr="00B650D9">
              <w:rPr>
                <w:sz w:val="23"/>
                <w:szCs w:val="23"/>
              </w:rPr>
              <w:t>.</w:t>
            </w:r>
          </w:p>
          <w:p w14:paraId="082FB576" w14:textId="385D721B" w:rsidR="00456611" w:rsidRPr="00B650D9" w:rsidRDefault="00973701" w:rsidP="004E2DB8">
            <w:pPr>
              <w:tabs>
                <w:tab w:val="left" w:pos="201"/>
              </w:tabs>
              <w:spacing w:after="120"/>
              <w:jc w:val="both"/>
              <w:rPr>
                <w:b/>
                <w:bCs/>
                <w:sz w:val="23"/>
                <w:szCs w:val="23"/>
              </w:rPr>
            </w:pPr>
            <w:r w:rsidRPr="00B650D9">
              <w:rPr>
                <w:b/>
                <w:bCs/>
                <w:sz w:val="23"/>
                <w:szCs w:val="23"/>
              </w:rPr>
              <w:t>5.2. Impactul asupra legislației în domeniul achizițiilor publice</w:t>
            </w:r>
          </w:p>
          <w:p w14:paraId="73EF4A8D" w14:textId="1DA5EBCC" w:rsidR="00723488" w:rsidRPr="00B650D9" w:rsidRDefault="00723488" w:rsidP="004E2DB8">
            <w:pPr>
              <w:tabs>
                <w:tab w:val="left" w:pos="201"/>
              </w:tabs>
              <w:spacing w:after="120"/>
              <w:jc w:val="both"/>
              <w:rPr>
                <w:sz w:val="23"/>
                <w:szCs w:val="23"/>
              </w:rPr>
            </w:pPr>
            <w:r w:rsidRPr="00B650D9">
              <w:rPr>
                <w:sz w:val="23"/>
                <w:szCs w:val="23"/>
              </w:rPr>
              <w:t>Prezentul act normativ nu se referă la acest subiect</w:t>
            </w:r>
          </w:p>
          <w:p w14:paraId="3CE6B9A6" w14:textId="2DF4E543" w:rsidR="00973701" w:rsidRPr="00B650D9" w:rsidRDefault="00973701" w:rsidP="004E2DB8">
            <w:pPr>
              <w:tabs>
                <w:tab w:val="left" w:pos="201"/>
              </w:tabs>
              <w:spacing w:after="120"/>
              <w:jc w:val="both"/>
              <w:rPr>
                <w:b/>
                <w:bCs/>
                <w:sz w:val="23"/>
                <w:szCs w:val="23"/>
              </w:rPr>
            </w:pPr>
            <w:r w:rsidRPr="00B650D9">
              <w:rPr>
                <w:b/>
                <w:bCs/>
                <w:sz w:val="23"/>
                <w:szCs w:val="23"/>
              </w:rPr>
              <w:t xml:space="preserve">5.3. Conformitatea  proiectului de act normativ cu </w:t>
            </w:r>
            <w:r w:rsidR="0053303E" w:rsidRPr="00B650D9">
              <w:rPr>
                <w:b/>
                <w:bCs/>
                <w:sz w:val="23"/>
                <w:szCs w:val="23"/>
              </w:rPr>
              <w:t>legislația</w:t>
            </w:r>
            <w:r w:rsidRPr="00B650D9">
              <w:rPr>
                <w:b/>
                <w:bCs/>
                <w:sz w:val="23"/>
                <w:szCs w:val="23"/>
              </w:rPr>
              <w:t xml:space="preserve"> UE (în cazul proiectelor ce transpun sau asigură aplicarea unor prevederi de drept UE)</w:t>
            </w:r>
          </w:p>
          <w:p w14:paraId="3EB922B7" w14:textId="049AF966" w:rsidR="00456611" w:rsidRPr="00B650D9" w:rsidRDefault="00973701" w:rsidP="004E2DB8">
            <w:pPr>
              <w:tabs>
                <w:tab w:val="left" w:pos="201"/>
              </w:tabs>
              <w:spacing w:after="120"/>
              <w:jc w:val="both"/>
              <w:rPr>
                <w:b/>
                <w:bCs/>
                <w:sz w:val="23"/>
                <w:szCs w:val="23"/>
              </w:rPr>
            </w:pPr>
            <w:r w:rsidRPr="00B650D9">
              <w:rPr>
                <w:b/>
                <w:bCs/>
                <w:sz w:val="23"/>
                <w:szCs w:val="23"/>
              </w:rPr>
              <w:t>5.3.1. Măsuri normative necesare transpunerii directivelor UE</w:t>
            </w:r>
          </w:p>
          <w:p w14:paraId="69E5C3B2" w14:textId="77777777" w:rsidR="00723488" w:rsidRPr="00B650D9" w:rsidRDefault="00723488" w:rsidP="004E2DB8">
            <w:pPr>
              <w:tabs>
                <w:tab w:val="left" w:pos="201"/>
              </w:tabs>
              <w:spacing w:after="120"/>
              <w:jc w:val="both"/>
              <w:rPr>
                <w:sz w:val="23"/>
                <w:szCs w:val="23"/>
              </w:rPr>
            </w:pPr>
            <w:r w:rsidRPr="00B650D9">
              <w:rPr>
                <w:sz w:val="23"/>
                <w:szCs w:val="23"/>
              </w:rPr>
              <w:t>Prezentul act normativ nu se referă la acest subiect</w:t>
            </w:r>
          </w:p>
          <w:p w14:paraId="1DA2C64E" w14:textId="2E9183B8" w:rsidR="00C369F9" w:rsidRPr="00B650D9" w:rsidRDefault="00674D58" w:rsidP="004E2DB8">
            <w:pPr>
              <w:tabs>
                <w:tab w:val="left" w:pos="201"/>
              </w:tabs>
              <w:spacing w:after="120"/>
              <w:jc w:val="both"/>
              <w:rPr>
                <w:b/>
                <w:bCs/>
                <w:sz w:val="23"/>
                <w:szCs w:val="23"/>
              </w:rPr>
            </w:pPr>
            <w:r w:rsidRPr="00B650D9">
              <w:rPr>
                <w:b/>
                <w:bCs/>
                <w:sz w:val="23"/>
                <w:szCs w:val="23"/>
              </w:rPr>
              <w:t>5.3.2. Măsuri normative necesare aplicării actelor legislative UE</w:t>
            </w:r>
          </w:p>
          <w:p w14:paraId="30852866" w14:textId="77777777" w:rsidR="00723488" w:rsidRPr="00B650D9" w:rsidRDefault="00723488" w:rsidP="004E2DB8">
            <w:pPr>
              <w:tabs>
                <w:tab w:val="left" w:pos="201"/>
              </w:tabs>
              <w:spacing w:after="120"/>
              <w:jc w:val="both"/>
              <w:rPr>
                <w:sz w:val="23"/>
                <w:szCs w:val="23"/>
              </w:rPr>
            </w:pPr>
            <w:r w:rsidRPr="00B650D9">
              <w:rPr>
                <w:sz w:val="23"/>
                <w:szCs w:val="23"/>
              </w:rPr>
              <w:t>Prezentul act normativ nu se referă la acest subiect</w:t>
            </w:r>
          </w:p>
          <w:p w14:paraId="1292063A" w14:textId="68E784C5" w:rsidR="002623AD" w:rsidRPr="00B650D9" w:rsidRDefault="00674D58" w:rsidP="004E2DB8">
            <w:pPr>
              <w:tabs>
                <w:tab w:val="left" w:pos="201"/>
              </w:tabs>
              <w:spacing w:after="120"/>
              <w:jc w:val="both"/>
              <w:rPr>
                <w:b/>
                <w:bCs/>
                <w:sz w:val="23"/>
                <w:szCs w:val="23"/>
              </w:rPr>
            </w:pPr>
            <w:r w:rsidRPr="00B650D9">
              <w:rPr>
                <w:b/>
                <w:bCs/>
                <w:sz w:val="23"/>
                <w:szCs w:val="23"/>
              </w:rPr>
              <w:t xml:space="preserve">5.4. Hotărâri ale </w:t>
            </w:r>
            <w:r w:rsidR="00BF6BBB" w:rsidRPr="00B650D9">
              <w:rPr>
                <w:b/>
                <w:bCs/>
                <w:sz w:val="23"/>
                <w:szCs w:val="23"/>
              </w:rPr>
              <w:t>Curții</w:t>
            </w:r>
            <w:r w:rsidRPr="00B650D9">
              <w:rPr>
                <w:b/>
                <w:bCs/>
                <w:sz w:val="23"/>
                <w:szCs w:val="23"/>
              </w:rPr>
              <w:t xml:space="preserve"> de Justiţie a Uniunii Europene</w:t>
            </w:r>
            <w:r w:rsidR="002623AD" w:rsidRPr="00B650D9">
              <w:rPr>
                <w:b/>
                <w:bCs/>
                <w:sz w:val="23"/>
                <w:szCs w:val="23"/>
              </w:rPr>
              <w:t xml:space="preserve"> </w:t>
            </w:r>
          </w:p>
          <w:p w14:paraId="45018BCA" w14:textId="77777777" w:rsidR="00723488" w:rsidRPr="00B650D9" w:rsidRDefault="00723488" w:rsidP="004E2DB8">
            <w:pPr>
              <w:tabs>
                <w:tab w:val="left" w:pos="201"/>
              </w:tabs>
              <w:spacing w:after="120"/>
              <w:jc w:val="both"/>
              <w:rPr>
                <w:sz w:val="23"/>
                <w:szCs w:val="23"/>
              </w:rPr>
            </w:pPr>
            <w:r w:rsidRPr="00B650D9">
              <w:rPr>
                <w:sz w:val="23"/>
                <w:szCs w:val="23"/>
              </w:rPr>
              <w:t>Prezentul act normativ nu se referă la acest subiect</w:t>
            </w:r>
          </w:p>
          <w:p w14:paraId="68B890A9" w14:textId="0D39A766" w:rsidR="00723488" w:rsidRPr="00B650D9" w:rsidRDefault="00674D58" w:rsidP="004E2DB8">
            <w:pPr>
              <w:tabs>
                <w:tab w:val="left" w:pos="201"/>
              </w:tabs>
              <w:spacing w:after="120"/>
              <w:jc w:val="both"/>
              <w:rPr>
                <w:b/>
                <w:bCs/>
                <w:sz w:val="23"/>
                <w:szCs w:val="23"/>
              </w:rPr>
            </w:pPr>
            <w:r w:rsidRPr="00B650D9">
              <w:rPr>
                <w:b/>
                <w:bCs/>
                <w:sz w:val="23"/>
                <w:szCs w:val="23"/>
              </w:rPr>
              <w:t xml:space="preserve">5.5. Alte acte normative şi/sau documente </w:t>
            </w:r>
            <w:r w:rsidR="00BF6BBB" w:rsidRPr="00B650D9">
              <w:rPr>
                <w:b/>
                <w:bCs/>
                <w:sz w:val="23"/>
                <w:szCs w:val="23"/>
              </w:rPr>
              <w:t>internaționale</w:t>
            </w:r>
            <w:r w:rsidRPr="00B650D9">
              <w:rPr>
                <w:b/>
                <w:bCs/>
                <w:sz w:val="23"/>
                <w:szCs w:val="23"/>
              </w:rPr>
              <w:t xml:space="preserve"> din care decurg angajamente asumate</w:t>
            </w:r>
          </w:p>
          <w:p w14:paraId="0B9287A7" w14:textId="77777777" w:rsidR="00723488" w:rsidRPr="00B650D9" w:rsidRDefault="00723488" w:rsidP="004E2DB8">
            <w:pPr>
              <w:tabs>
                <w:tab w:val="left" w:pos="201"/>
              </w:tabs>
              <w:spacing w:after="120"/>
              <w:jc w:val="both"/>
              <w:rPr>
                <w:sz w:val="23"/>
                <w:szCs w:val="23"/>
              </w:rPr>
            </w:pPr>
            <w:r w:rsidRPr="00B650D9">
              <w:rPr>
                <w:sz w:val="23"/>
                <w:szCs w:val="23"/>
              </w:rPr>
              <w:lastRenderedPageBreak/>
              <w:t>Prezentul act normativ nu se referă la acest subiect</w:t>
            </w:r>
          </w:p>
          <w:p w14:paraId="37138732" w14:textId="77777777" w:rsidR="00973701" w:rsidRPr="00B650D9" w:rsidRDefault="00674D58" w:rsidP="004E2DB8">
            <w:pPr>
              <w:tabs>
                <w:tab w:val="left" w:pos="201"/>
              </w:tabs>
              <w:spacing w:after="120"/>
              <w:jc w:val="both"/>
              <w:rPr>
                <w:b/>
                <w:bCs/>
                <w:sz w:val="23"/>
                <w:szCs w:val="23"/>
              </w:rPr>
            </w:pPr>
            <w:r w:rsidRPr="00B650D9">
              <w:rPr>
                <w:b/>
                <w:bCs/>
                <w:sz w:val="23"/>
                <w:szCs w:val="23"/>
              </w:rPr>
              <w:t>5.6. Alte informații</w:t>
            </w:r>
          </w:p>
          <w:p w14:paraId="7C430706" w14:textId="033658E4" w:rsidR="00CB7478" w:rsidRPr="00B650D9" w:rsidRDefault="00CB7478" w:rsidP="004E2DB8">
            <w:pPr>
              <w:tabs>
                <w:tab w:val="left" w:pos="201"/>
              </w:tabs>
              <w:spacing w:after="120"/>
              <w:jc w:val="both"/>
              <w:rPr>
                <w:sz w:val="23"/>
                <w:szCs w:val="23"/>
              </w:rPr>
            </w:pPr>
            <w:r w:rsidRPr="00B650D9">
              <w:rPr>
                <w:sz w:val="23"/>
                <w:szCs w:val="23"/>
              </w:rPr>
              <w:t>Nu au fost identificate</w:t>
            </w:r>
          </w:p>
        </w:tc>
      </w:tr>
    </w:tbl>
    <w:p w14:paraId="1223145B" w14:textId="6D3C3D2C" w:rsidR="00343EC0" w:rsidRPr="00B650D9" w:rsidRDefault="00DB715E" w:rsidP="00E86A2D">
      <w:pPr>
        <w:spacing w:after="120"/>
        <w:rPr>
          <w:b/>
          <w:highlight w:val="yellow"/>
        </w:rPr>
      </w:pPr>
      <w:r w:rsidRPr="00B650D9">
        <w:rPr>
          <w:b/>
          <w:highlight w:val="yellow"/>
        </w:rPr>
        <w:lastRenderedPageBreak/>
        <w:t xml:space="preserve">   </w:t>
      </w:r>
    </w:p>
    <w:p w14:paraId="6F04DAD9" w14:textId="7387218F" w:rsidR="00BB0782" w:rsidRPr="00B650D9" w:rsidRDefault="00BB0782" w:rsidP="004E2DB8">
      <w:pPr>
        <w:spacing w:after="120"/>
        <w:ind w:firstLine="720"/>
        <w:jc w:val="center"/>
        <w:rPr>
          <w:b/>
        </w:rPr>
      </w:pPr>
      <w:r w:rsidRPr="00B650D9">
        <w:rPr>
          <w:b/>
        </w:rPr>
        <w:t>Secțiunea a 6-a</w:t>
      </w:r>
    </w:p>
    <w:p w14:paraId="527E1CCB" w14:textId="18C383FC" w:rsidR="00BF6BBB" w:rsidRPr="00B650D9" w:rsidRDefault="00670C79" w:rsidP="00500692">
      <w:pPr>
        <w:spacing w:after="120"/>
        <w:ind w:firstLine="720"/>
        <w:jc w:val="center"/>
        <w:rPr>
          <w:b/>
        </w:rPr>
      </w:pPr>
      <w:r w:rsidRPr="00B650D9">
        <w:rPr>
          <w:b/>
        </w:rPr>
        <w:t>Consultările efectuate în vederea elaborării proiectului de act normativ</w:t>
      </w:r>
    </w:p>
    <w:p w14:paraId="1FAB2062" w14:textId="77777777" w:rsidR="00E23F3A" w:rsidRPr="00B650D9" w:rsidRDefault="00E23F3A" w:rsidP="00500692">
      <w:pPr>
        <w:spacing w:after="120"/>
        <w:ind w:firstLine="720"/>
        <w:jc w:val="center"/>
        <w:rPr>
          <w:b/>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A60372" w:rsidRPr="00B650D9" w14:paraId="5EB7CDBC" w14:textId="77777777" w:rsidTr="00096014">
        <w:tc>
          <w:tcPr>
            <w:tcW w:w="10533" w:type="dxa"/>
          </w:tcPr>
          <w:p w14:paraId="598B642C" w14:textId="4C2ABE40" w:rsidR="00770E01" w:rsidRPr="00B650D9" w:rsidRDefault="00770E01" w:rsidP="004E2DB8">
            <w:pPr>
              <w:spacing w:after="120"/>
              <w:jc w:val="both"/>
              <w:rPr>
                <w:b/>
                <w:bCs/>
              </w:rPr>
            </w:pPr>
            <w:r w:rsidRPr="00B650D9">
              <w:rPr>
                <w:b/>
                <w:bCs/>
              </w:rPr>
              <w:t>6.1. Informații privind neaplicarea procedurii de participare la elaborarea actelor normative</w:t>
            </w:r>
          </w:p>
          <w:p w14:paraId="639C0CFE" w14:textId="77777777" w:rsidR="00CB7478" w:rsidRPr="00B650D9" w:rsidRDefault="00CB7478" w:rsidP="004E2DB8">
            <w:pPr>
              <w:spacing w:after="120"/>
              <w:jc w:val="both"/>
            </w:pPr>
            <w:r w:rsidRPr="00B650D9">
              <w:t>Proiectul de act normativ nu se referă la acest subiect.</w:t>
            </w:r>
          </w:p>
          <w:p w14:paraId="0B61431A" w14:textId="07A45B4B" w:rsidR="00770E01" w:rsidRPr="00B650D9" w:rsidRDefault="00770E01" w:rsidP="004E2DB8">
            <w:pPr>
              <w:spacing w:after="120"/>
              <w:jc w:val="both"/>
              <w:rPr>
                <w:b/>
                <w:bCs/>
              </w:rPr>
            </w:pPr>
            <w:r w:rsidRPr="00B650D9">
              <w:rPr>
                <w:b/>
                <w:bCs/>
              </w:rPr>
              <w:t xml:space="preserve">6.2. </w:t>
            </w:r>
            <w:r w:rsidR="00012F4C" w:rsidRPr="00B650D9">
              <w:rPr>
                <w:b/>
                <w:bCs/>
              </w:rPr>
              <w:t>Informații</w:t>
            </w:r>
            <w:r w:rsidRPr="00B650D9">
              <w:rPr>
                <w:b/>
                <w:bCs/>
              </w:rPr>
              <w:t xml:space="preserve"> privind procesul de consultare cu </w:t>
            </w:r>
            <w:r w:rsidR="00012F4C" w:rsidRPr="00B650D9">
              <w:rPr>
                <w:b/>
                <w:bCs/>
              </w:rPr>
              <w:t>organizații</w:t>
            </w:r>
            <w:r w:rsidRPr="00B650D9">
              <w:rPr>
                <w:b/>
                <w:bCs/>
              </w:rPr>
              <w:t xml:space="preserve"> neguvernamentale, institute de cercetare şi alte organisme implicate</w:t>
            </w:r>
          </w:p>
          <w:p w14:paraId="1F65C454" w14:textId="77777777" w:rsidR="00CB7478" w:rsidRPr="00B650D9" w:rsidRDefault="00CB7478" w:rsidP="004E2DB8">
            <w:pPr>
              <w:spacing w:after="120"/>
              <w:jc w:val="both"/>
            </w:pPr>
            <w:r w:rsidRPr="00B650D9">
              <w:t>Proiectul de act normativ nu se referă la acest subiect.</w:t>
            </w:r>
          </w:p>
          <w:p w14:paraId="2BABECC5" w14:textId="2EADBBA5" w:rsidR="00926ABC" w:rsidRPr="00B650D9" w:rsidRDefault="00770E01" w:rsidP="004E2DB8">
            <w:pPr>
              <w:spacing w:after="120"/>
              <w:jc w:val="both"/>
              <w:rPr>
                <w:b/>
                <w:bCs/>
              </w:rPr>
            </w:pPr>
            <w:r w:rsidRPr="00B650D9">
              <w:rPr>
                <w:b/>
                <w:bCs/>
              </w:rPr>
              <w:t>6.3. Informații despre consultările organizate cu autoritățile administrației publice locale</w:t>
            </w:r>
          </w:p>
          <w:p w14:paraId="19EE8485" w14:textId="0745BE76" w:rsidR="00535C55" w:rsidRPr="00B650D9" w:rsidRDefault="00535C55" w:rsidP="00535C55">
            <w:pPr>
              <w:spacing w:after="120"/>
              <w:jc w:val="both"/>
            </w:pPr>
            <w:r w:rsidRPr="00B650D9">
              <w:t xml:space="preserve">A fost realizată procedura de consultare în conformitate cu prevederile Ordonanței de urgență a Guvernului nr. 57/2019 privind Codul administrativ, cu completările ulterioare, precum și ale Hotărârii Guvernului nr. 635/2022 privind procedura de consultare a structurilor asociative ale </w:t>
            </w:r>
            <w:r w:rsidR="002B6530" w:rsidRPr="00B650D9">
              <w:t>autorităților</w:t>
            </w:r>
            <w:r w:rsidRPr="00B650D9">
              <w:t xml:space="preserve"> </w:t>
            </w:r>
            <w:r w:rsidR="002B6530" w:rsidRPr="00B650D9">
              <w:t>administrației</w:t>
            </w:r>
            <w:r w:rsidRPr="00B650D9">
              <w:t xml:space="preserve"> publice locale la elaborarea proiectelor de acte normative.</w:t>
            </w:r>
          </w:p>
          <w:p w14:paraId="6E5E9604" w14:textId="77777777" w:rsidR="00535C55" w:rsidRPr="00B650D9" w:rsidRDefault="00535C55" w:rsidP="00535C55">
            <w:pPr>
              <w:spacing w:after="120"/>
              <w:jc w:val="both"/>
            </w:pPr>
            <w:r w:rsidRPr="00B650D9">
              <w:t>Proiectul de act normativ a fost transmis pentru consultare structurilor asociative ale autorităților administrației publice locale, solicitându-se punct de vedere de la Asociația Comunelor din România, Asociația Municipiilor din România, Asociația Orașelor din România, respectiv de la Uniunea Națională a Consiliilor Județene din România.</w:t>
            </w:r>
          </w:p>
          <w:p w14:paraId="53F02791" w14:textId="10ACB71E" w:rsidR="00770E01" w:rsidRPr="00B650D9" w:rsidRDefault="00770E01" w:rsidP="004E2DB8">
            <w:pPr>
              <w:spacing w:after="120"/>
              <w:jc w:val="both"/>
              <w:rPr>
                <w:b/>
                <w:bCs/>
              </w:rPr>
            </w:pPr>
            <w:r w:rsidRPr="00B650D9">
              <w:rPr>
                <w:b/>
                <w:bCs/>
              </w:rPr>
              <w:t>6.4. Informații privind puncte de vedere/opinii emise de organisme consul</w:t>
            </w:r>
            <w:r w:rsidR="00F72B33" w:rsidRPr="00B650D9">
              <w:rPr>
                <w:b/>
                <w:bCs/>
              </w:rPr>
              <w:t>t</w:t>
            </w:r>
            <w:r w:rsidRPr="00B650D9">
              <w:rPr>
                <w:b/>
                <w:bCs/>
              </w:rPr>
              <w:t>ative constituite prin acte normative</w:t>
            </w:r>
          </w:p>
          <w:p w14:paraId="3C8D47E5" w14:textId="6D40E50D" w:rsidR="00CB7478" w:rsidRPr="00B650D9" w:rsidRDefault="00CB7478" w:rsidP="004E2DB8">
            <w:pPr>
              <w:spacing w:after="120"/>
              <w:jc w:val="both"/>
            </w:pPr>
            <w:r w:rsidRPr="00B650D9">
              <w:t>Proiectul de act normativ nu se referă la acest subiect.</w:t>
            </w:r>
          </w:p>
          <w:p w14:paraId="0FF572CC" w14:textId="3F3A66CE" w:rsidR="00770E01" w:rsidRPr="00B650D9" w:rsidRDefault="00770E01" w:rsidP="004E2DB8">
            <w:pPr>
              <w:spacing w:after="120"/>
              <w:jc w:val="both"/>
              <w:rPr>
                <w:b/>
                <w:bCs/>
              </w:rPr>
            </w:pPr>
            <w:r w:rsidRPr="00B650D9">
              <w:rPr>
                <w:b/>
                <w:bCs/>
              </w:rPr>
              <w:t>6.5</w:t>
            </w:r>
            <w:r w:rsidR="004555DD" w:rsidRPr="00B650D9">
              <w:rPr>
                <w:b/>
                <w:bCs/>
              </w:rPr>
              <w:t>.</w:t>
            </w:r>
            <w:r w:rsidRPr="00B650D9">
              <w:rPr>
                <w:b/>
                <w:bCs/>
              </w:rPr>
              <w:t xml:space="preserve"> Informații privind avizarea de către:</w:t>
            </w:r>
          </w:p>
          <w:p w14:paraId="4019CFEC" w14:textId="73AC6216" w:rsidR="00CB7478" w:rsidRPr="00B650D9" w:rsidRDefault="00770E01" w:rsidP="004E2DB8">
            <w:pPr>
              <w:spacing w:after="120"/>
              <w:jc w:val="both"/>
            </w:pPr>
            <w:r w:rsidRPr="00B650D9">
              <w:t xml:space="preserve">a) </w:t>
            </w:r>
            <w:r w:rsidRPr="00B650D9">
              <w:rPr>
                <w:b/>
                <w:bCs/>
              </w:rPr>
              <w:t xml:space="preserve">Consiliul </w:t>
            </w:r>
            <w:r w:rsidR="008F6907" w:rsidRPr="00B650D9">
              <w:rPr>
                <w:b/>
                <w:bCs/>
              </w:rPr>
              <w:t>L</w:t>
            </w:r>
            <w:r w:rsidRPr="00B650D9">
              <w:rPr>
                <w:b/>
                <w:bCs/>
              </w:rPr>
              <w:t>egislativ</w:t>
            </w:r>
            <w:r w:rsidR="00FA2645" w:rsidRPr="00B650D9">
              <w:t xml:space="preserve"> </w:t>
            </w:r>
          </w:p>
          <w:p w14:paraId="5FE65553" w14:textId="5B1E88DB" w:rsidR="00770E01" w:rsidRPr="00B650D9" w:rsidRDefault="00770E01" w:rsidP="004E2DB8">
            <w:pPr>
              <w:spacing w:after="120"/>
              <w:jc w:val="both"/>
            </w:pPr>
            <w:r w:rsidRPr="00B650D9">
              <w:t>b)</w:t>
            </w:r>
            <w:r w:rsidR="00456611" w:rsidRPr="00B650D9">
              <w:t xml:space="preserve"> </w:t>
            </w:r>
            <w:r w:rsidRPr="00B650D9">
              <w:t xml:space="preserve">Consiliul Suprem de Apărare a </w:t>
            </w:r>
            <w:r w:rsidR="00012F4C" w:rsidRPr="00B650D9">
              <w:t>Țării</w:t>
            </w:r>
          </w:p>
          <w:p w14:paraId="4AC17768" w14:textId="373BE093" w:rsidR="00CB7478" w:rsidRPr="00B650D9" w:rsidRDefault="00770E01" w:rsidP="004E2DB8">
            <w:pPr>
              <w:spacing w:after="120"/>
              <w:jc w:val="both"/>
            </w:pPr>
            <w:r w:rsidRPr="00B650D9">
              <w:t>c)</w:t>
            </w:r>
            <w:r w:rsidR="00456611" w:rsidRPr="00B650D9">
              <w:t xml:space="preserve"> </w:t>
            </w:r>
            <w:r w:rsidRPr="00B650D9">
              <w:t>Consiliul Economic şi Social</w:t>
            </w:r>
            <w:r w:rsidR="00CB7478" w:rsidRPr="00B650D9">
              <w:t xml:space="preserve"> </w:t>
            </w:r>
          </w:p>
          <w:p w14:paraId="782E1FCE" w14:textId="0F23478A" w:rsidR="00770E01" w:rsidRPr="00B650D9" w:rsidRDefault="00770E01" w:rsidP="004E2DB8">
            <w:pPr>
              <w:spacing w:after="120"/>
              <w:jc w:val="both"/>
            </w:pPr>
            <w:r w:rsidRPr="00B650D9">
              <w:t>d)</w:t>
            </w:r>
            <w:r w:rsidR="00456611" w:rsidRPr="00B650D9">
              <w:t xml:space="preserve"> </w:t>
            </w:r>
            <w:r w:rsidRPr="00B650D9">
              <w:t xml:space="preserve">Consiliul </w:t>
            </w:r>
            <w:r w:rsidR="00CB7478" w:rsidRPr="00B650D9">
              <w:t>Concurenței</w:t>
            </w:r>
            <w:r w:rsidRPr="00B650D9">
              <w:t xml:space="preserve"> </w:t>
            </w:r>
          </w:p>
          <w:p w14:paraId="2F3CE523" w14:textId="520A4B5E" w:rsidR="00CB7478" w:rsidRPr="00B650D9" w:rsidRDefault="00770E01" w:rsidP="004E2DB8">
            <w:pPr>
              <w:spacing w:after="120"/>
              <w:jc w:val="both"/>
              <w:rPr>
                <w:b/>
                <w:bCs/>
              </w:rPr>
            </w:pPr>
            <w:r w:rsidRPr="00B650D9">
              <w:rPr>
                <w:b/>
                <w:bCs/>
              </w:rPr>
              <w:t>e)</w:t>
            </w:r>
            <w:r w:rsidR="00456611" w:rsidRPr="00B650D9">
              <w:rPr>
                <w:b/>
                <w:bCs/>
              </w:rPr>
              <w:t xml:space="preserve"> </w:t>
            </w:r>
            <w:r w:rsidRPr="00B650D9">
              <w:rPr>
                <w:b/>
                <w:bCs/>
              </w:rPr>
              <w:t>Curtea de Conturi</w:t>
            </w:r>
            <w:r w:rsidR="00CB7478" w:rsidRPr="00B650D9">
              <w:rPr>
                <w:b/>
                <w:bCs/>
              </w:rPr>
              <w:t xml:space="preserve"> </w:t>
            </w:r>
          </w:p>
          <w:p w14:paraId="6FFA42D7" w14:textId="149113A5" w:rsidR="00084688" w:rsidRPr="00B650D9" w:rsidRDefault="00084688" w:rsidP="004E2DB8">
            <w:pPr>
              <w:spacing w:after="120"/>
              <w:jc w:val="both"/>
            </w:pPr>
            <w:r w:rsidRPr="00B650D9">
              <w:t>Proiectul de act normativ a fost avizat de Consiliul Legislativ prin avizul nr.........</w:t>
            </w:r>
          </w:p>
          <w:p w14:paraId="2BD75505" w14:textId="77777777" w:rsidR="00770E01" w:rsidRPr="00B650D9" w:rsidRDefault="00770E01" w:rsidP="004E2DB8">
            <w:pPr>
              <w:spacing w:after="120"/>
              <w:jc w:val="both"/>
              <w:rPr>
                <w:b/>
                <w:bCs/>
              </w:rPr>
            </w:pPr>
            <w:r w:rsidRPr="00B650D9">
              <w:rPr>
                <w:b/>
                <w:bCs/>
              </w:rPr>
              <w:t>6.6. Alte informații</w:t>
            </w:r>
          </w:p>
          <w:p w14:paraId="32E03757" w14:textId="534EF16E" w:rsidR="004841A2" w:rsidRPr="00B650D9" w:rsidRDefault="008B7974" w:rsidP="004E2DB8">
            <w:pPr>
              <w:spacing w:after="120"/>
              <w:jc w:val="both"/>
            </w:pPr>
            <w:r w:rsidRPr="00B650D9">
              <w:t xml:space="preserve"> S-a solicitat punctul de vedere al </w:t>
            </w:r>
            <w:r w:rsidR="00F6544E" w:rsidRPr="00B650D9">
              <w:t xml:space="preserve">următoarelor autorități: Curtea </w:t>
            </w:r>
            <w:r w:rsidRPr="00B650D9">
              <w:t>de Conturi</w:t>
            </w:r>
            <w:r w:rsidR="00F6544E" w:rsidRPr="00B650D9">
              <w:t>,</w:t>
            </w:r>
            <w:r w:rsidR="00DE5AF9" w:rsidRPr="00B650D9">
              <w:t xml:space="preserve"> </w:t>
            </w:r>
            <w:r w:rsidR="00F6544E" w:rsidRPr="00B650D9">
              <w:t xml:space="preserve">Autoritatea </w:t>
            </w:r>
            <w:r w:rsidRPr="00B650D9">
              <w:t>de Audit din cadrul Curții de Conturi a României</w:t>
            </w:r>
            <w:r w:rsidR="00E35AAF" w:rsidRPr="00B650D9">
              <w:t xml:space="preserve">, Ministerul Afacerilor Externe, </w:t>
            </w:r>
            <w:r w:rsidR="00F6544E" w:rsidRPr="00B650D9">
              <w:t xml:space="preserve">Oficiul Național Registrul Comerțului, </w:t>
            </w:r>
            <w:r w:rsidR="004909B9" w:rsidRPr="00B650D9">
              <w:t xml:space="preserve">Agenția Națională de Integritate, Autoritatea pentru Digitalizarea României, Inspectoratul de Stat în Construcții, </w:t>
            </w:r>
            <w:r w:rsidR="004909B9" w:rsidRPr="00B650D9">
              <w:lastRenderedPageBreak/>
              <w:t>Registrul Auto Român, Camera Auditorilor Financiari</w:t>
            </w:r>
            <w:r w:rsidR="00B20D28" w:rsidRPr="00B650D9">
              <w:t xml:space="preserve"> din România</w:t>
            </w:r>
            <w:r w:rsidR="004909B9" w:rsidRPr="00B650D9">
              <w:t xml:space="preserve">, Autoritatea de Supraveghere Financiară, Institutul Național de Statistică, </w:t>
            </w:r>
            <w:bookmarkStart w:id="0" w:name="_Hlk124488825"/>
            <w:r w:rsidR="001F5B5E" w:rsidRPr="00B650D9">
              <w:fldChar w:fldCharType="begin"/>
            </w:r>
            <w:r w:rsidR="001F5B5E" w:rsidRPr="00B650D9">
              <w:instrText xml:space="preserve"> HYPERLINK "https://osim.ro/" </w:instrText>
            </w:r>
            <w:r w:rsidR="001F5B5E" w:rsidRPr="00B650D9">
              <w:fldChar w:fldCharType="separate"/>
            </w:r>
            <w:r w:rsidR="001F5B5E" w:rsidRPr="00B650D9">
              <w:rPr>
                <w:rStyle w:val="Hyperlink"/>
                <w:color w:val="auto"/>
                <w:u w:val="none"/>
              </w:rPr>
              <w:t>Oficiul de Stat pentru Invenții și Mărc</w:t>
            </w:r>
            <w:r w:rsidR="001F5B5E" w:rsidRPr="00B650D9">
              <w:fldChar w:fldCharType="end"/>
            </w:r>
            <w:r w:rsidR="001F5B5E" w:rsidRPr="00B650D9">
              <w:t>i</w:t>
            </w:r>
            <w:bookmarkEnd w:id="0"/>
            <w:r w:rsidR="004909B9" w:rsidRPr="00B650D9">
              <w:t xml:space="preserve">, Autoritatea Națională de Cadastru și Publicitate Imobiliară, Consiliul Concurenței, Inspectoratul Teritorial de Muncă, Agenția Națională pentru Ocuparea Forței de Muncă, </w:t>
            </w:r>
            <w:r w:rsidR="00256CCD" w:rsidRPr="00B650D9">
              <w:rPr>
                <w:bCs/>
              </w:rPr>
              <w:t>Autoritatea pentru Supravegherea Publica a Activității de Audit Statutar</w:t>
            </w:r>
            <w:r w:rsidR="00F6544E" w:rsidRPr="00B650D9">
              <w:t xml:space="preserve">, </w:t>
            </w:r>
            <w:r w:rsidR="00F6544E" w:rsidRPr="00B650D9">
              <w:rPr>
                <w:bCs/>
              </w:rPr>
              <w:t>Autoritatea Națională de Supraveghere a Prelucrării Datelor cu Caracter Personal</w:t>
            </w:r>
            <w:r w:rsidR="004909B9" w:rsidRPr="00B650D9">
              <w:t xml:space="preserve"> </w:t>
            </w:r>
            <w:r w:rsidRPr="00B650D9">
              <w:t>.</w:t>
            </w:r>
          </w:p>
        </w:tc>
      </w:tr>
    </w:tbl>
    <w:p w14:paraId="743889EF" w14:textId="77777777" w:rsidR="004841A2" w:rsidRPr="00B650D9" w:rsidRDefault="004841A2" w:rsidP="004E2DB8">
      <w:pPr>
        <w:pStyle w:val="BodyTextIndent2"/>
        <w:spacing w:before="0" w:line="240" w:lineRule="auto"/>
        <w:ind w:left="180" w:right="98" w:firstLine="540"/>
        <w:jc w:val="both"/>
        <w:rPr>
          <w:bCs w:val="0"/>
          <w:sz w:val="24"/>
          <w:highlight w:val="yellow"/>
        </w:rPr>
      </w:pPr>
    </w:p>
    <w:p w14:paraId="742967FC" w14:textId="77777777" w:rsidR="00FD6313" w:rsidRPr="00B650D9" w:rsidRDefault="00FD6313" w:rsidP="004E2DB8">
      <w:pPr>
        <w:pStyle w:val="BodyTextIndent2"/>
        <w:spacing w:before="0" w:line="240" w:lineRule="auto"/>
        <w:ind w:left="187" w:right="101" w:firstLine="547"/>
        <w:jc w:val="center"/>
        <w:rPr>
          <w:bCs w:val="0"/>
          <w:sz w:val="24"/>
        </w:rPr>
      </w:pPr>
    </w:p>
    <w:p w14:paraId="311858C9" w14:textId="7C76C9D2" w:rsidR="00770E01" w:rsidRPr="00B650D9" w:rsidRDefault="00DE5AF9" w:rsidP="004E2DB8">
      <w:pPr>
        <w:pStyle w:val="BodyTextIndent2"/>
        <w:spacing w:before="0" w:line="240" w:lineRule="auto"/>
        <w:ind w:left="187" w:right="101" w:firstLine="547"/>
        <w:jc w:val="center"/>
        <w:rPr>
          <w:bCs w:val="0"/>
          <w:sz w:val="24"/>
        </w:rPr>
      </w:pPr>
      <w:r w:rsidRPr="00B650D9">
        <w:rPr>
          <w:bCs w:val="0"/>
          <w:sz w:val="24"/>
        </w:rPr>
        <w:t>Secțiunea</w:t>
      </w:r>
      <w:r w:rsidR="00670C79" w:rsidRPr="00B650D9">
        <w:rPr>
          <w:bCs w:val="0"/>
          <w:sz w:val="24"/>
        </w:rPr>
        <w:t xml:space="preserve"> a 7-a</w:t>
      </w:r>
    </w:p>
    <w:p w14:paraId="45DA67B7" w14:textId="7CE0C791" w:rsidR="00260E13" w:rsidRPr="00B650D9" w:rsidRDefault="00012F4C" w:rsidP="004E2DB8">
      <w:pPr>
        <w:pStyle w:val="BodyTextIndent2"/>
        <w:spacing w:before="0" w:line="240" w:lineRule="auto"/>
        <w:ind w:left="180" w:right="98" w:firstLine="540"/>
        <w:jc w:val="center"/>
        <w:rPr>
          <w:bCs w:val="0"/>
          <w:sz w:val="24"/>
        </w:rPr>
      </w:pPr>
      <w:r w:rsidRPr="00B650D9">
        <w:rPr>
          <w:bCs w:val="0"/>
          <w:sz w:val="24"/>
        </w:rPr>
        <w:t>Activități</w:t>
      </w:r>
      <w:r w:rsidR="00670C79" w:rsidRPr="00B650D9">
        <w:rPr>
          <w:bCs w:val="0"/>
          <w:sz w:val="24"/>
        </w:rPr>
        <w:t xml:space="preserve"> de informare publică privind elaborarea şi implementarea </w:t>
      </w:r>
      <w:bookmarkStart w:id="1" w:name="_Hlk100229941"/>
      <w:r w:rsidR="00670C79" w:rsidRPr="00B650D9">
        <w:rPr>
          <w:bCs w:val="0"/>
          <w:sz w:val="24"/>
        </w:rPr>
        <w:t>proiectului de act normativ</w:t>
      </w:r>
      <w:bookmarkEnd w:id="1"/>
    </w:p>
    <w:p w14:paraId="565512EA" w14:textId="77777777" w:rsidR="00E23F3A" w:rsidRPr="00B650D9" w:rsidRDefault="00E23F3A" w:rsidP="004E2DB8">
      <w:pPr>
        <w:pStyle w:val="BodyTextIndent2"/>
        <w:spacing w:before="0" w:line="240" w:lineRule="auto"/>
        <w:ind w:left="180" w:right="98" w:firstLine="540"/>
        <w:jc w:val="center"/>
        <w:rPr>
          <w:bCs w:val="0"/>
          <w:sz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A60372" w:rsidRPr="00B650D9" w14:paraId="416004E3" w14:textId="77777777" w:rsidTr="00634CAE">
        <w:tc>
          <w:tcPr>
            <w:tcW w:w="10533" w:type="dxa"/>
          </w:tcPr>
          <w:p w14:paraId="77522FE5" w14:textId="77777777" w:rsidR="00012F4C" w:rsidRPr="00B650D9" w:rsidRDefault="00770E01" w:rsidP="004E2DB8">
            <w:pPr>
              <w:spacing w:after="120"/>
              <w:jc w:val="both"/>
              <w:rPr>
                <w:b/>
                <w:bCs/>
              </w:rPr>
            </w:pPr>
            <w:r w:rsidRPr="00B650D9">
              <w:rPr>
                <w:b/>
                <w:bCs/>
              </w:rPr>
              <w:t xml:space="preserve">7.1. </w:t>
            </w:r>
            <w:r w:rsidR="0053566B" w:rsidRPr="00B650D9">
              <w:rPr>
                <w:b/>
                <w:bCs/>
              </w:rPr>
              <w:t xml:space="preserve">Informarea </w:t>
            </w:r>
            <w:r w:rsidR="00D97666" w:rsidRPr="00B650D9">
              <w:rPr>
                <w:b/>
                <w:bCs/>
              </w:rPr>
              <w:t>societății</w:t>
            </w:r>
            <w:r w:rsidR="0053566B" w:rsidRPr="00B650D9">
              <w:rPr>
                <w:b/>
                <w:bCs/>
              </w:rPr>
              <w:t xml:space="preserve"> civile cu privire la elaborarea proiectului de act normativ</w:t>
            </w:r>
          </w:p>
          <w:p w14:paraId="6C96FD7D" w14:textId="0EF0AE7E" w:rsidR="00BA389E" w:rsidRPr="00B650D9" w:rsidRDefault="00012F4C" w:rsidP="004E2DB8">
            <w:pPr>
              <w:spacing w:after="120"/>
              <w:jc w:val="both"/>
            </w:pPr>
            <w:r w:rsidRPr="00B650D9">
              <w:t>Prezentul proiect de act normativ respectă prevederile art. 7 alin. (13) din Legea nr. 52/2003 privind transparența decizională în administrația publică, republicată, și a fost publicat în dezbatere publică pe pagina de internet a Ministerului Investițiilor și Proiectelor Europene la data de</w:t>
            </w:r>
            <w:r w:rsidR="006357E8">
              <w:t xml:space="preserve"> 02.02.2023.</w:t>
            </w:r>
          </w:p>
          <w:p w14:paraId="3695E7F7" w14:textId="2A67B9DE" w:rsidR="0053566B" w:rsidRPr="00B650D9" w:rsidRDefault="0053566B" w:rsidP="004E2DB8">
            <w:pPr>
              <w:spacing w:after="120"/>
              <w:jc w:val="both"/>
              <w:rPr>
                <w:b/>
                <w:bCs/>
              </w:rPr>
            </w:pPr>
            <w:r w:rsidRPr="00B650D9">
              <w:rPr>
                <w:b/>
                <w:bCs/>
              </w:rPr>
              <w:t xml:space="preserve">7.2. Informarea </w:t>
            </w:r>
            <w:r w:rsidR="00BF6BBB" w:rsidRPr="00B650D9">
              <w:rPr>
                <w:b/>
                <w:bCs/>
              </w:rPr>
              <w:t>societății</w:t>
            </w:r>
            <w:r w:rsidRPr="00B650D9">
              <w:rPr>
                <w:b/>
                <w:bCs/>
              </w:rPr>
              <w:t xml:space="preserve"> civile cu privire la e</w:t>
            </w:r>
            <w:r w:rsidR="008F6907" w:rsidRPr="00B650D9">
              <w:rPr>
                <w:b/>
                <w:bCs/>
              </w:rPr>
              <w:t>v</w:t>
            </w:r>
            <w:r w:rsidRPr="00B650D9">
              <w:rPr>
                <w:b/>
                <w:bCs/>
              </w:rPr>
              <w:t>entualul impact asupra mediului în urma implementării proiectului de act normativ, precum și efectele asupra sănătății și securității cetățenilor sau diversității biologice</w:t>
            </w:r>
          </w:p>
          <w:p w14:paraId="76237CB1" w14:textId="77777777" w:rsidR="00D97666" w:rsidRPr="00B650D9" w:rsidRDefault="00D97666" w:rsidP="004E2DB8">
            <w:pPr>
              <w:tabs>
                <w:tab w:val="left" w:pos="201"/>
              </w:tabs>
              <w:spacing w:after="120"/>
              <w:jc w:val="both"/>
            </w:pPr>
            <w:r w:rsidRPr="00B650D9">
              <w:t>Prezentul act normativ nu se referă la acest subiect</w:t>
            </w:r>
          </w:p>
          <w:p w14:paraId="4C5B4C8B" w14:textId="77777777" w:rsidR="008F6907" w:rsidRPr="00B650D9" w:rsidRDefault="008F6907" w:rsidP="004E2DB8">
            <w:pPr>
              <w:spacing w:after="120"/>
              <w:jc w:val="both"/>
              <w:rPr>
                <w:b/>
                <w:bCs/>
              </w:rPr>
            </w:pPr>
            <w:r w:rsidRPr="00B650D9">
              <w:rPr>
                <w:b/>
                <w:bCs/>
              </w:rPr>
              <w:t>7.3. Alte informații</w:t>
            </w:r>
          </w:p>
          <w:p w14:paraId="6A2C5259" w14:textId="07199E37" w:rsidR="00D97666" w:rsidRPr="00B650D9" w:rsidRDefault="00D97666" w:rsidP="004E2DB8">
            <w:pPr>
              <w:spacing w:after="120"/>
              <w:jc w:val="both"/>
              <w:rPr>
                <w:b/>
                <w:bCs/>
              </w:rPr>
            </w:pPr>
            <w:r w:rsidRPr="00B650D9">
              <w:t>Nu au fost identificate</w:t>
            </w:r>
          </w:p>
        </w:tc>
      </w:tr>
    </w:tbl>
    <w:p w14:paraId="2E5FD074" w14:textId="68C92436" w:rsidR="006579E2" w:rsidRPr="00B650D9" w:rsidRDefault="006579E2">
      <w:pPr>
        <w:spacing w:after="160" w:line="259" w:lineRule="auto"/>
        <w:rPr>
          <w:b/>
        </w:rPr>
      </w:pPr>
    </w:p>
    <w:p w14:paraId="66694B6C" w14:textId="77777777" w:rsidR="00FD6313" w:rsidRPr="00B650D9" w:rsidRDefault="00FD6313" w:rsidP="00E86A2D">
      <w:pPr>
        <w:spacing w:after="160" w:line="259" w:lineRule="auto"/>
        <w:jc w:val="center"/>
        <w:rPr>
          <w:b/>
        </w:rPr>
      </w:pPr>
    </w:p>
    <w:p w14:paraId="341152AF" w14:textId="295614D0" w:rsidR="0053566B" w:rsidRPr="00B650D9" w:rsidRDefault="00BF6BBB" w:rsidP="00E86A2D">
      <w:pPr>
        <w:spacing w:after="160" w:line="259" w:lineRule="auto"/>
        <w:jc w:val="center"/>
        <w:rPr>
          <w:b/>
        </w:rPr>
      </w:pPr>
      <w:r w:rsidRPr="00B650D9">
        <w:rPr>
          <w:b/>
        </w:rPr>
        <w:t>Secțiunea</w:t>
      </w:r>
      <w:r w:rsidR="00670C79" w:rsidRPr="00B650D9">
        <w:rPr>
          <w:b/>
        </w:rPr>
        <w:t xml:space="preserve"> a 8- a</w:t>
      </w:r>
    </w:p>
    <w:p w14:paraId="7EEA50E9" w14:textId="404FF2C8" w:rsidR="00BF6BBB" w:rsidRPr="00B650D9" w:rsidRDefault="00670C79" w:rsidP="0090532A">
      <w:pPr>
        <w:spacing w:after="120"/>
        <w:ind w:left="180" w:firstLine="540"/>
        <w:jc w:val="center"/>
        <w:rPr>
          <w:b/>
        </w:rPr>
      </w:pPr>
      <w:r w:rsidRPr="00B650D9">
        <w:rPr>
          <w:b/>
        </w:rPr>
        <w:t xml:space="preserve">Măsuri </w:t>
      </w:r>
      <w:r w:rsidR="0053566B" w:rsidRPr="00B650D9">
        <w:rPr>
          <w:b/>
        </w:rPr>
        <w:t>privind</w:t>
      </w:r>
      <w:r w:rsidRPr="00B650D9">
        <w:rPr>
          <w:b/>
        </w:rPr>
        <w:t xml:space="preserve"> implementare</w:t>
      </w:r>
      <w:r w:rsidR="0053566B" w:rsidRPr="00B650D9">
        <w:rPr>
          <w:b/>
        </w:rPr>
        <w:t>a, monitorizarea și evaluarea proiectului de act normativ</w:t>
      </w:r>
    </w:p>
    <w:tbl>
      <w:tblPr>
        <w:tblW w:w="105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3"/>
      </w:tblGrid>
      <w:tr w:rsidR="00A60372" w:rsidRPr="00B650D9" w14:paraId="554BFAFC" w14:textId="77777777" w:rsidTr="00435BC5">
        <w:tc>
          <w:tcPr>
            <w:tcW w:w="10553" w:type="dxa"/>
          </w:tcPr>
          <w:p w14:paraId="560280B7" w14:textId="5C5AA51F" w:rsidR="0053566B" w:rsidRPr="00B650D9" w:rsidRDefault="0053566B" w:rsidP="004E2DB8">
            <w:pPr>
              <w:pStyle w:val="Heading1"/>
              <w:spacing w:after="120" w:line="240" w:lineRule="auto"/>
              <w:jc w:val="both"/>
              <w:rPr>
                <w:b/>
                <w:bCs/>
                <w:sz w:val="24"/>
              </w:rPr>
            </w:pPr>
            <w:r w:rsidRPr="00B650D9">
              <w:rPr>
                <w:b/>
                <w:bCs/>
                <w:sz w:val="24"/>
              </w:rPr>
              <w:t>8.1. Măsuri de punere în aplicare a proiectului de act normativ</w:t>
            </w:r>
          </w:p>
          <w:p w14:paraId="129BAE9F" w14:textId="77777777" w:rsidR="00D97666" w:rsidRPr="00B650D9" w:rsidRDefault="00D97666" w:rsidP="004E2DB8">
            <w:pPr>
              <w:tabs>
                <w:tab w:val="left" w:pos="201"/>
              </w:tabs>
              <w:spacing w:after="120"/>
              <w:jc w:val="both"/>
            </w:pPr>
            <w:r w:rsidRPr="00B650D9">
              <w:t>Prezentul act normativ nu se referă la acest subiect</w:t>
            </w:r>
          </w:p>
          <w:p w14:paraId="41930950" w14:textId="1E0C0BFB" w:rsidR="0053566B" w:rsidRPr="00B650D9" w:rsidRDefault="0053566B" w:rsidP="004E2DB8">
            <w:pPr>
              <w:spacing w:after="120"/>
              <w:rPr>
                <w:b/>
                <w:bCs/>
              </w:rPr>
            </w:pPr>
            <w:r w:rsidRPr="00B650D9">
              <w:rPr>
                <w:b/>
                <w:bCs/>
              </w:rPr>
              <w:t xml:space="preserve">8.2. Alte </w:t>
            </w:r>
            <w:r w:rsidR="00BF6BBB" w:rsidRPr="00B650D9">
              <w:rPr>
                <w:b/>
                <w:bCs/>
              </w:rPr>
              <w:t>informații</w:t>
            </w:r>
          </w:p>
          <w:p w14:paraId="3837F202" w14:textId="40D90679" w:rsidR="00D97666" w:rsidRPr="00B650D9" w:rsidRDefault="00D97666" w:rsidP="004E2DB8">
            <w:pPr>
              <w:spacing w:after="120"/>
            </w:pPr>
            <w:r w:rsidRPr="00B650D9">
              <w:t>Nu au fost identificate</w:t>
            </w:r>
          </w:p>
        </w:tc>
      </w:tr>
    </w:tbl>
    <w:p w14:paraId="662C929C" w14:textId="77777777" w:rsidR="0090532A" w:rsidRPr="00B650D9" w:rsidRDefault="0090532A" w:rsidP="00892A42">
      <w:pPr>
        <w:jc w:val="both"/>
      </w:pPr>
      <w:bookmarkStart w:id="2" w:name="_Hlk126048021"/>
    </w:p>
    <w:p w14:paraId="61F664CB" w14:textId="77777777" w:rsidR="00FD6313" w:rsidRPr="00B650D9" w:rsidRDefault="00FD6313">
      <w:pPr>
        <w:spacing w:after="160" w:line="259" w:lineRule="auto"/>
      </w:pPr>
      <w:r w:rsidRPr="00B650D9">
        <w:br w:type="page"/>
      </w:r>
    </w:p>
    <w:p w14:paraId="5F985B9A" w14:textId="707F6298" w:rsidR="00892A42" w:rsidRPr="00B650D9" w:rsidRDefault="00AF34ED" w:rsidP="00892A42">
      <w:pPr>
        <w:jc w:val="both"/>
      </w:pPr>
      <w:r w:rsidRPr="00B650D9">
        <w:lastRenderedPageBreak/>
        <w:t xml:space="preserve">Față de cele prezentate mai sus, a fost promovat prezentul proiect de </w:t>
      </w:r>
      <w:r w:rsidR="00484F4B" w:rsidRPr="00B650D9">
        <w:t>Ordonanță</w:t>
      </w:r>
      <w:r w:rsidR="008420DF" w:rsidRPr="00B650D9">
        <w:t xml:space="preserve"> de urgență </w:t>
      </w:r>
      <w:r w:rsidR="00484F4B" w:rsidRPr="00B650D9">
        <w:t xml:space="preserve"> </w:t>
      </w:r>
      <w:r w:rsidR="008420DF" w:rsidRPr="00B650D9">
        <w:t>privind instituirea unor măsuri de simplificare și digitalizare pentru gestionarea fondurilor europene aferente Politicii de Coeziune 2021-2027</w:t>
      </w:r>
      <w:r w:rsidR="000E7634" w:rsidRPr="00B650D9">
        <w:t xml:space="preserve">, </w:t>
      </w:r>
      <w:r w:rsidRPr="00B650D9">
        <w:t xml:space="preserve">care în forma prezentată, </w:t>
      </w:r>
      <w:r w:rsidR="00892A42" w:rsidRPr="00B650D9">
        <w:t>a fost avizat de ministerele și instituțiile interesate și de Consiliul Legislativ și pe care îl supunem spre adoptare.</w:t>
      </w:r>
    </w:p>
    <w:p w14:paraId="3C9E61FE" w14:textId="77777777" w:rsidR="00C977E5" w:rsidRPr="00B650D9" w:rsidRDefault="00C977E5" w:rsidP="004E2DB8">
      <w:pPr>
        <w:autoSpaceDE w:val="0"/>
        <w:autoSpaceDN w:val="0"/>
        <w:adjustRightInd w:val="0"/>
        <w:spacing w:after="120"/>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64"/>
        <w:gridCol w:w="5264"/>
      </w:tblGrid>
      <w:tr w:rsidR="00A60372" w:rsidRPr="00B650D9" w14:paraId="2C5021B1" w14:textId="77777777" w:rsidTr="009062A4">
        <w:tc>
          <w:tcPr>
            <w:tcW w:w="10528" w:type="dxa"/>
            <w:gridSpan w:val="2"/>
          </w:tcPr>
          <w:p w14:paraId="41556D34" w14:textId="77777777" w:rsidR="00BF6BBB" w:rsidRPr="00B650D9" w:rsidRDefault="00BF6BBB" w:rsidP="004E2DB8">
            <w:pPr>
              <w:spacing w:after="120"/>
              <w:jc w:val="center"/>
              <w:rPr>
                <w:b/>
                <w:bCs/>
              </w:rPr>
            </w:pPr>
            <w:r w:rsidRPr="00B650D9">
              <w:rPr>
                <w:b/>
                <w:bCs/>
              </w:rPr>
              <w:t>MINISTRUL INVESTIȚIILOR ȘI PROIECTELOR EUROPENE</w:t>
            </w:r>
          </w:p>
          <w:p w14:paraId="32E51C99" w14:textId="77777777" w:rsidR="00BF6BBB" w:rsidRPr="00B650D9" w:rsidRDefault="00BF6BBB" w:rsidP="004E2DB8">
            <w:pPr>
              <w:spacing w:after="120"/>
              <w:jc w:val="center"/>
              <w:rPr>
                <w:b/>
                <w:bCs/>
              </w:rPr>
            </w:pPr>
          </w:p>
          <w:p w14:paraId="37114350" w14:textId="1A86E650" w:rsidR="00BF6BBB" w:rsidRPr="00B650D9" w:rsidRDefault="00BF6BBB" w:rsidP="00BF6BBB">
            <w:pPr>
              <w:spacing w:after="120"/>
              <w:jc w:val="center"/>
            </w:pPr>
            <w:r w:rsidRPr="00B650D9">
              <w:rPr>
                <w:b/>
                <w:bCs/>
              </w:rPr>
              <w:t>Marcel-Ioan BOLOȘ</w:t>
            </w:r>
          </w:p>
        </w:tc>
      </w:tr>
      <w:tr w:rsidR="00A60372" w:rsidRPr="00B650D9" w14:paraId="193D3119" w14:textId="77777777" w:rsidTr="009062A4">
        <w:tc>
          <w:tcPr>
            <w:tcW w:w="10528" w:type="dxa"/>
            <w:gridSpan w:val="2"/>
          </w:tcPr>
          <w:p w14:paraId="5C8D185B" w14:textId="77777777" w:rsidR="00A03741" w:rsidRPr="00B650D9" w:rsidRDefault="00A03741" w:rsidP="004E2DB8">
            <w:pPr>
              <w:spacing w:after="120"/>
              <w:ind w:left="720" w:hanging="720"/>
              <w:jc w:val="center"/>
              <w:rPr>
                <w:b/>
                <w:bCs/>
              </w:rPr>
            </w:pPr>
          </w:p>
          <w:p w14:paraId="46D53AE5" w14:textId="77777777" w:rsidR="008B7974" w:rsidRPr="00B650D9" w:rsidRDefault="008B7974" w:rsidP="00E86A2D">
            <w:pPr>
              <w:spacing w:after="120"/>
              <w:ind w:left="720" w:hanging="720"/>
              <w:jc w:val="center"/>
              <w:rPr>
                <w:b/>
                <w:bCs/>
              </w:rPr>
            </w:pPr>
            <w:r w:rsidRPr="00B650D9">
              <w:rPr>
                <w:b/>
                <w:bCs/>
              </w:rPr>
              <w:t>Avizatori:</w:t>
            </w:r>
          </w:p>
          <w:p w14:paraId="5BC11486" w14:textId="63B58C53" w:rsidR="004A0A14" w:rsidRPr="00B650D9" w:rsidRDefault="004A0A14" w:rsidP="00E86A2D">
            <w:pPr>
              <w:spacing w:after="120"/>
              <w:ind w:left="720" w:hanging="720"/>
              <w:jc w:val="center"/>
              <w:rPr>
                <w:b/>
                <w:bCs/>
              </w:rPr>
            </w:pPr>
          </w:p>
        </w:tc>
      </w:tr>
      <w:tr w:rsidR="00A60372" w:rsidRPr="00B650D9" w14:paraId="44CC2C58" w14:textId="77777777" w:rsidTr="009062A4">
        <w:tc>
          <w:tcPr>
            <w:tcW w:w="5264" w:type="dxa"/>
          </w:tcPr>
          <w:p w14:paraId="7D1C1B3E" w14:textId="2BDA2927" w:rsidR="008B7974" w:rsidRPr="00B650D9" w:rsidRDefault="008B7974" w:rsidP="004E2DB8">
            <w:pPr>
              <w:autoSpaceDE w:val="0"/>
              <w:autoSpaceDN w:val="0"/>
              <w:adjustRightInd w:val="0"/>
              <w:spacing w:after="120"/>
              <w:jc w:val="center"/>
              <w:rPr>
                <w:b/>
                <w:bCs/>
              </w:rPr>
            </w:pPr>
            <w:r w:rsidRPr="00B650D9">
              <w:rPr>
                <w:b/>
                <w:bCs/>
              </w:rPr>
              <w:t>VICEPRIM-MINISTRU,</w:t>
            </w:r>
          </w:p>
          <w:p w14:paraId="5B914C72" w14:textId="7D1E6062" w:rsidR="00892A42" w:rsidRPr="00B650D9" w:rsidRDefault="008B7974" w:rsidP="00C02BA8">
            <w:pPr>
              <w:autoSpaceDE w:val="0"/>
              <w:autoSpaceDN w:val="0"/>
              <w:adjustRightInd w:val="0"/>
              <w:spacing w:after="120"/>
              <w:jc w:val="center"/>
              <w:rPr>
                <w:b/>
                <w:bCs/>
              </w:rPr>
            </w:pPr>
            <w:r w:rsidRPr="00B650D9">
              <w:rPr>
                <w:b/>
                <w:bCs/>
              </w:rPr>
              <w:t>MINISTRUL TRANSPORTURILOR ŞI INFRASTRUCTURII</w:t>
            </w:r>
          </w:p>
        </w:tc>
        <w:tc>
          <w:tcPr>
            <w:tcW w:w="5264" w:type="dxa"/>
          </w:tcPr>
          <w:p w14:paraId="2E955064" w14:textId="1879192B" w:rsidR="00500692" w:rsidRPr="00B650D9" w:rsidRDefault="00D06F50" w:rsidP="00500692">
            <w:pPr>
              <w:autoSpaceDE w:val="0"/>
              <w:autoSpaceDN w:val="0"/>
              <w:adjustRightInd w:val="0"/>
              <w:spacing w:after="120"/>
              <w:jc w:val="center"/>
              <w:rPr>
                <w:b/>
                <w:bCs/>
              </w:rPr>
            </w:pPr>
            <w:r w:rsidRPr="00B650D9">
              <w:rPr>
                <w:b/>
                <w:bCs/>
              </w:rPr>
              <w:t>MINISTRUL AFACERILOR INTERNE</w:t>
            </w:r>
          </w:p>
          <w:p w14:paraId="6D7DDD3A" w14:textId="109CEC7D" w:rsidR="00C02BA8" w:rsidRPr="00B650D9" w:rsidRDefault="00C02BA8" w:rsidP="00500692">
            <w:pPr>
              <w:autoSpaceDE w:val="0"/>
              <w:autoSpaceDN w:val="0"/>
              <w:adjustRightInd w:val="0"/>
              <w:spacing w:after="120"/>
              <w:jc w:val="center"/>
              <w:rPr>
                <w:b/>
                <w:bCs/>
              </w:rPr>
            </w:pPr>
          </w:p>
          <w:p w14:paraId="702E8C60" w14:textId="3754B5F2" w:rsidR="008B7974" w:rsidRPr="00B650D9" w:rsidRDefault="008B7974" w:rsidP="00C02BA8">
            <w:pPr>
              <w:autoSpaceDE w:val="0"/>
              <w:autoSpaceDN w:val="0"/>
              <w:adjustRightInd w:val="0"/>
              <w:spacing w:after="120"/>
              <w:rPr>
                <w:b/>
                <w:bCs/>
              </w:rPr>
            </w:pPr>
          </w:p>
        </w:tc>
      </w:tr>
      <w:tr w:rsidR="00A60372" w:rsidRPr="00B650D9" w14:paraId="1A1F9122" w14:textId="77777777" w:rsidTr="009062A4">
        <w:tc>
          <w:tcPr>
            <w:tcW w:w="5264" w:type="dxa"/>
          </w:tcPr>
          <w:p w14:paraId="3F45A4C7" w14:textId="77777777" w:rsidR="00C02BA8" w:rsidRPr="00B650D9" w:rsidRDefault="00C02BA8" w:rsidP="00C02BA8">
            <w:pPr>
              <w:autoSpaceDE w:val="0"/>
              <w:autoSpaceDN w:val="0"/>
              <w:adjustRightInd w:val="0"/>
              <w:spacing w:after="120"/>
              <w:jc w:val="center"/>
              <w:rPr>
                <w:b/>
                <w:bCs/>
              </w:rPr>
            </w:pPr>
            <w:r w:rsidRPr="00B650D9">
              <w:rPr>
                <w:b/>
                <w:bCs/>
              </w:rPr>
              <w:t>Sorin Mihai GRINDEANU</w:t>
            </w:r>
          </w:p>
          <w:p w14:paraId="6ABE69A6" w14:textId="77777777" w:rsidR="00C02BA8" w:rsidRPr="00B650D9" w:rsidRDefault="00C02BA8" w:rsidP="004E2DB8">
            <w:pPr>
              <w:autoSpaceDE w:val="0"/>
              <w:autoSpaceDN w:val="0"/>
              <w:adjustRightInd w:val="0"/>
              <w:spacing w:after="120"/>
              <w:jc w:val="center"/>
              <w:rPr>
                <w:b/>
                <w:bCs/>
              </w:rPr>
            </w:pPr>
          </w:p>
          <w:p w14:paraId="44243342" w14:textId="112F9D9E" w:rsidR="009062A4" w:rsidRPr="00B650D9" w:rsidRDefault="009062A4" w:rsidP="004E2DB8">
            <w:pPr>
              <w:autoSpaceDE w:val="0"/>
              <w:autoSpaceDN w:val="0"/>
              <w:adjustRightInd w:val="0"/>
              <w:spacing w:after="120"/>
              <w:jc w:val="center"/>
              <w:rPr>
                <w:b/>
                <w:bCs/>
              </w:rPr>
            </w:pPr>
          </w:p>
        </w:tc>
        <w:tc>
          <w:tcPr>
            <w:tcW w:w="5264" w:type="dxa"/>
          </w:tcPr>
          <w:p w14:paraId="42BD17C8" w14:textId="77777777" w:rsidR="00C02BA8" w:rsidRPr="00B650D9" w:rsidRDefault="00C02BA8" w:rsidP="00C02BA8">
            <w:pPr>
              <w:autoSpaceDE w:val="0"/>
              <w:autoSpaceDN w:val="0"/>
              <w:adjustRightInd w:val="0"/>
              <w:spacing w:after="120"/>
              <w:jc w:val="center"/>
              <w:rPr>
                <w:b/>
                <w:bCs/>
              </w:rPr>
            </w:pPr>
            <w:r w:rsidRPr="00B650D9">
              <w:rPr>
                <w:b/>
                <w:bCs/>
              </w:rPr>
              <w:t>Lucian Nicolae BODE</w:t>
            </w:r>
          </w:p>
          <w:p w14:paraId="3BCF4890" w14:textId="77777777" w:rsidR="00C02BA8" w:rsidRPr="00B650D9" w:rsidRDefault="00C02BA8" w:rsidP="00500692">
            <w:pPr>
              <w:autoSpaceDE w:val="0"/>
              <w:autoSpaceDN w:val="0"/>
              <w:adjustRightInd w:val="0"/>
              <w:spacing w:after="120"/>
              <w:jc w:val="center"/>
              <w:rPr>
                <w:b/>
                <w:bCs/>
              </w:rPr>
            </w:pPr>
          </w:p>
        </w:tc>
      </w:tr>
      <w:tr w:rsidR="00A60372" w:rsidRPr="00B650D9" w14:paraId="4A674228" w14:textId="77777777" w:rsidTr="009062A4">
        <w:tc>
          <w:tcPr>
            <w:tcW w:w="5264" w:type="dxa"/>
          </w:tcPr>
          <w:p w14:paraId="49AF947A" w14:textId="77777777" w:rsidR="00C977E5" w:rsidRPr="00B650D9" w:rsidRDefault="00C977E5" w:rsidP="00C977E5">
            <w:pPr>
              <w:autoSpaceDE w:val="0"/>
              <w:autoSpaceDN w:val="0"/>
              <w:adjustRightInd w:val="0"/>
              <w:spacing w:after="120"/>
              <w:jc w:val="center"/>
              <w:rPr>
                <w:b/>
                <w:bCs/>
              </w:rPr>
            </w:pPr>
            <w:r w:rsidRPr="00B650D9">
              <w:rPr>
                <w:b/>
                <w:bCs/>
              </w:rPr>
              <w:t>MINISTRUL AGRICULTURII ŞI DEZVOLTĂRII RURALE</w:t>
            </w:r>
          </w:p>
          <w:p w14:paraId="6FDFE6C2" w14:textId="77777777" w:rsidR="00C977E5" w:rsidRPr="00B650D9" w:rsidRDefault="00C977E5" w:rsidP="00C977E5">
            <w:pPr>
              <w:autoSpaceDE w:val="0"/>
              <w:autoSpaceDN w:val="0"/>
              <w:adjustRightInd w:val="0"/>
              <w:spacing w:after="120"/>
              <w:jc w:val="center"/>
              <w:rPr>
                <w:b/>
                <w:bCs/>
              </w:rPr>
            </w:pPr>
            <w:r w:rsidRPr="00B650D9">
              <w:rPr>
                <w:b/>
                <w:bCs/>
              </w:rPr>
              <w:t xml:space="preserve">Petre DAEA </w:t>
            </w:r>
          </w:p>
          <w:p w14:paraId="4CCCD014" w14:textId="77777777" w:rsidR="00BF6BBB" w:rsidRPr="00B650D9" w:rsidRDefault="00BF6BBB" w:rsidP="001B7BB2">
            <w:pPr>
              <w:spacing w:after="120"/>
              <w:jc w:val="center"/>
              <w:rPr>
                <w:b/>
                <w:bCs/>
                <w:highlight w:val="yellow"/>
              </w:rPr>
            </w:pPr>
          </w:p>
          <w:p w14:paraId="6D8E8B2B" w14:textId="25E7E870" w:rsidR="009062A4" w:rsidRPr="00B650D9" w:rsidRDefault="009062A4" w:rsidP="001B7BB2">
            <w:pPr>
              <w:spacing w:after="120"/>
              <w:jc w:val="center"/>
              <w:rPr>
                <w:b/>
                <w:bCs/>
                <w:highlight w:val="yellow"/>
              </w:rPr>
            </w:pPr>
          </w:p>
        </w:tc>
        <w:tc>
          <w:tcPr>
            <w:tcW w:w="5264" w:type="dxa"/>
          </w:tcPr>
          <w:p w14:paraId="204D528A" w14:textId="77777777" w:rsidR="00C977E5" w:rsidRPr="00B650D9" w:rsidRDefault="00C977E5" w:rsidP="00C977E5">
            <w:pPr>
              <w:autoSpaceDE w:val="0"/>
              <w:autoSpaceDN w:val="0"/>
              <w:adjustRightInd w:val="0"/>
              <w:spacing w:after="120"/>
              <w:jc w:val="center"/>
              <w:rPr>
                <w:b/>
                <w:bCs/>
              </w:rPr>
            </w:pPr>
            <w:r w:rsidRPr="00B650D9">
              <w:rPr>
                <w:b/>
                <w:bCs/>
              </w:rPr>
              <w:t>MINISTRUL MUNCII ȘI SOLIDARITĂȚII SOCIALE</w:t>
            </w:r>
          </w:p>
          <w:p w14:paraId="51643E7D" w14:textId="77777777" w:rsidR="00C977E5" w:rsidRPr="00B650D9" w:rsidRDefault="00C977E5" w:rsidP="00C977E5">
            <w:pPr>
              <w:autoSpaceDE w:val="0"/>
              <w:autoSpaceDN w:val="0"/>
              <w:adjustRightInd w:val="0"/>
              <w:spacing w:after="120"/>
              <w:jc w:val="center"/>
              <w:rPr>
                <w:b/>
                <w:bCs/>
              </w:rPr>
            </w:pPr>
            <w:r w:rsidRPr="00B650D9">
              <w:rPr>
                <w:b/>
                <w:bCs/>
              </w:rPr>
              <w:t>Marius-Constantin BUDĂI</w:t>
            </w:r>
          </w:p>
          <w:p w14:paraId="107DEFDA" w14:textId="22C6F57F" w:rsidR="008E254E" w:rsidRPr="00B650D9" w:rsidRDefault="008E254E" w:rsidP="004E2DB8">
            <w:pPr>
              <w:autoSpaceDE w:val="0"/>
              <w:autoSpaceDN w:val="0"/>
              <w:adjustRightInd w:val="0"/>
              <w:spacing w:after="120"/>
              <w:jc w:val="center"/>
              <w:rPr>
                <w:b/>
                <w:bCs/>
                <w:highlight w:val="yellow"/>
              </w:rPr>
            </w:pPr>
          </w:p>
        </w:tc>
      </w:tr>
      <w:tr w:rsidR="00A60372" w:rsidRPr="00B650D9" w14:paraId="240F2D1A" w14:textId="77777777" w:rsidTr="009062A4">
        <w:tc>
          <w:tcPr>
            <w:tcW w:w="5264" w:type="dxa"/>
          </w:tcPr>
          <w:p w14:paraId="77FD3930" w14:textId="349F74C1" w:rsidR="00D06F50" w:rsidRPr="00B650D9" w:rsidRDefault="00D06F50" w:rsidP="00D06F50">
            <w:pPr>
              <w:autoSpaceDE w:val="0"/>
              <w:autoSpaceDN w:val="0"/>
              <w:adjustRightInd w:val="0"/>
              <w:spacing w:after="120"/>
              <w:jc w:val="center"/>
              <w:rPr>
                <w:b/>
                <w:bCs/>
              </w:rPr>
            </w:pPr>
            <w:r w:rsidRPr="00B650D9">
              <w:rPr>
                <w:b/>
                <w:bCs/>
              </w:rPr>
              <w:t>MINISTRUL CERCETĂRII, INOVĂRII ȘI DIGITALIZĂRII</w:t>
            </w:r>
          </w:p>
          <w:p w14:paraId="12164E57" w14:textId="42259AC2" w:rsidR="00DE5AF9" w:rsidRPr="00B650D9" w:rsidRDefault="00D06F50" w:rsidP="00D06F50">
            <w:pPr>
              <w:autoSpaceDE w:val="0"/>
              <w:autoSpaceDN w:val="0"/>
              <w:adjustRightInd w:val="0"/>
              <w:spacing w:after="120"/>
              <w:jc w:val="center"/>
              <w:rPr>
                <w:b/>
                <w:bCs/>
              </w:rPr>
            </w:pPr>
            <w:r w:rsidRPr="00B650D9">
              <w:rPr>
                <w:b/>
                <w:bCs/>
              </w:rPr>
              <w:t>Sebastian-Ioan BURDUJA</w:t>
            </w:r>
          </w:p>
        </w:tc>
        <w:tc>
          <w:tcPr>
            <w:tcW w:w="5264" w:type="dxa"/>
          </w:tcPr>
          <w:p w14:paraId="4B3C254D" w14:textId="77777777" w:rsidR="00D06F50" w:rsidRPr="00B650D9" w:rsidRDefault="00D06F50" w:rsidP="00D06F50">
            <w:pPr>
              <w:autoSpaceDE w:val="0"/>
              <w:autoSpaceDN w:val="0"/>
              <w:adjustRightInd w:val="0"/>
              <w:spacing w:after="120"/>
              <w:jc w:val="center"/>
              <w:rPr>
                <w:b/>
                <w:bCs/>
              </w:rPr>
            </w:pPr>
            <w:r w:rsidRPr="00B650D9">
              <w:rPr>
                <w:b/>
                <w:bCs/>
              </w:rPr>
              <w:t>DIRECTORUL SERVICIULUI DE TELECOMUNICAȚII SPECIALE</w:t>
            </w:r>
          </w:p>
          <w:p w14:paraId="5D6FC9D1" w14:textId="267D9C5B" w:rsidR="00D06F50" w:rsidRPr="00B650D9" w:rsidRDefault="00D06F50" w:rsidP="00D06F50">
            <w:pPr>
              <w:autoSpaceDE w:val="0"/>
              <w:autoSpaceDN w:val="0"/>
              <w:adjustRightInd w:val="0"/>
              <w:spacing w:after="120"/>
              <w:jc w:val="center"/>
              <w:rPr>
                <w:b/>
                <w:bCs/>
              </w:rPr>
            </w:pPr>
            <w:r w:rsidRPr="00B650D9">
              <w:rPr>
                <w:b/>
                <w:bCs/>
              </w:rPr>
              <w:t>Ionel-Sorin BĂLAN</w:t>
            </w:r>
          </w:p>
          <w:p w14:paraId="3BE4059B" w14:textId="77777777" w:rsidR="00C8538A" w:rsidRPr="00B650D9" w:rsidRDefault="00C8538A" w:rsidP="00D06F50">
            <w:pPr>
              <w:autoSpaceDE w:val="0"/>
              <w:autoSpaceDN w:val="0"/>
              <w:adjustRightInd w:val="0"/>
              <w:spacing w:after="120"/>
              <w:jc w:val="center"/>
              <w:rPr>
                <w:b/>
                <w:bCs/>
              </w:rPr>
            </w:pPr>
          </w:p>
          <w:p w14:paraId="7CC81D0B" w14:textId="3143F4B6" w:rsidR="00F337B3" w:rsidRPr="00B650D9" w:rsidRDefault="00F337B3" w:rsidP="00C977E5">
            <w:pPr>
              <w:autoSpaceDE w:val="0"/>
              <w:autoSpaceDN w:val="0"/>
              <w:adjustRightInd w:val="0"/>
              <w:spacing w:after="120"/>
              <w:jc w:val="center"/>
              <w:rPr>
                <w:b/>
                <w:bCs/>
              </w:rPr>
            </w:pPr>
          </w:p>
        </w:tc>
      </w:tr>
      <w:tr w:rsidR="00A60372" w:rsidRPr="00B650D9" w14:paraId="2FBEC2EC" w14:textId="77777777" w:rsidTr="009062A4">
        <w:tc>
          <w:tcPr>
            <w:tcW w:w="5264" w:type="dxa"/>
          </w:tcPr>
          <w:p w14:paraId="2AB03548" w14:textId="047979ED" w:rsidR="009062A4" w:rsidRPr="00B650D9" w:rsidRDefault="009062A4" w:rsidP="009062A4">
            <w:pPr>
              <w:autoSpaceDE w:val="0"/>
              <w:autoSpaceDN w:val="0"/>
              <w:adjustRightInd w:val="0"/>
              <w:spacing w:after="120"/>
              <w:jc w:val="center"/>
              <w:rPr>
                <w:b/>
                <w:bCs/>
              </w:rPr>
            </w:pPr>
            <w:r w:rsidRPr="00B650D9">
              <w:rPr>
                <w:b/>
                <w:bCs/>
              </w:rPr>
              <w:t>MINISTRUL EDUCAȚIEI</w:t>
            </w:r>
          </w:p>
          <w:p w14:paraId="112FD501" w14:textId="30FC71DA" w:rsidR="009062A4" w:rsidRPr="00B650D9" w:rsidRDefault="009062A4" w:rsidP="009062A4">
            <w:pPr>
              <w:autoSpaceDE w:val="0"/>
              <w:autoSpaceDN w:val="0"/>
              <w:adjustRightInd w:val="0"/>
              <w:spacing w:after="120"/>
              <w:jc w:val="center"/>
              <w:rPr>
                <w:b/>
                <w:bCs/>
              </w:rPr>
            </w:pPr>
            <w:r w:rsidRPr="00B650D9">
              <w:rPr>
                <w:b/>
                <w:bCs/>
              </w:rPr>
              <w:t>Ligia DECA</w:t>
            </w:r>
          </w:p>
          <w:p w14:paraId="04691428" w14:textId="77777777" w:rsidR="009062A4" w:rsidRPr="00B650D9" w:rsidRDefault="009062A4" w:rsidP="00D06F50">
            <w:pPr>
              <w:autoSpaceDE w:val="0"/>
              <w:autoSpaceDN w:val="0"/>
              <w:adjustRightInd w:val="0"/>
              <w:spacing w:after="120"/>
              <w:jc w:val="center"/>
              <w:rPr>
                <w:b/>
                <w:bCs/>
              </w:rPr>
            </w:pPr>
          </w:p>
        </w:tc>
        <w:tc>
          <w:tcPr>
            <w:tcW w:w="5264" w:type="dxa"/>
          </w:tcPr>
          <w:p w14:paraId="4F22F560" w14:textId="77777777" w:rsidR="009062A4" w:rsidRPr="00B650D9" w:rsidRDefault="009062A4" w:rsidP="009062A4">
            <w:pPr>
              <w:autoSpaceDE w:val="0"/>
              <w:autoSpaceDN w:val="0"/>
              <w:adjustRightInd w:val="0"/>
              <w:spacing w:after="120"/>
              <w:jc w:val="center"/>
              <w:rPr>
                <w:b/>
                <w:bCs/>
              </w:rPr>
            </w:pPr>
            <w:r w:rsidRPr="00B650D9">
              <w:rPr>
                <w:b/>
                <w:bCs/>
              </w:rPr>
              <w:t>MINISTRUL FINANȚELOR</w:t>
            </w:r>
          </w:p>
          <w:p w14:paraId="4E3704C4" w14:textId="3E19F514" w:rsidR="009062A4" w:rsidRPr="00B650D9" w:rsidRDefault="009062A4" w:rsidP="009062A4">
            <w:pPr>
              <w:autoSpaceDE w:val="0"/>
              <w:autoSpaceDN w:val="0"/>
              <w:adjustRightInd w:val="0"/>
              <w:spacing w:after="120"/>
              <w:jc w:val="center"/>
              <w:rPr>
                <w:b/>
                <w:bCs/>
              </w:rPr>
            </w:pPr>
            <w:r w:rsidRPr="00B650D9">
              <w:rPr>
                <w:b/>
                <w:bCs/>
              </w:rPr>
              <w:t>Adrian CÂCIU</w:t>
            </w:r>
          </w:p>
        </w:tc>
      </w:tr>
      <w:tr w:rsidR="00892A42" w:rsidRPr="00B650D9" w14:paraId="4F77A2E9" w14:textId="77777777" w:rsidTr="009062A4">
        <w:tc>
          <w:tcPr>
            <w:tcW w:w="10528" w:type="dxa"/>
            <w:gridSpan w:val="2"/>
          </w:tcPr>
          <w:p w14:paraId="457874FB" w14:textId="3FB2708E" w:rsidR="00500692" w:rsidRPr="00B650D9" w:rsidRDefault="00500692" w:rsidP="00343EC0">
            <w:pPr>
              <w:spacing w:after="120"/>
              <w:ind w:left="720" w:hanging="720"/>
              <w:jc w:val="center"/>
              <w:rPr>
                <w:b/>
                <w:bCs/>
              </w:rPr>
            </w:pPr>
          </w:p>
          <w:p w14:paraId="17CD4B84" w14:textId="35B7EE24" w:rsidR="00500692" w:rsidRPr="00B650D9" w:rsidRDefault="00500692" w:rsidP="00C8538A">
            <w:pPr>
              <w:autoSpaceDE w:val="0"/>
              <w:autoSpaceDN w:val="0"/>
              <w:adjustRightInd w:val="0"/>
              <w:spacing w:after="120"/>
              <w:jc w:val="center"/>
              <w:rPr>
                <w:b/>
                <w:bCs/>
              </w:rPr>
            </w:pPr>
            <w:r w:rsidRPr="00B650D9">
              <w:rPr>
                <w:b/>
                <w:bCs/>
              </w:rPr>
              <w:t>MINISTRUL JUSTIȚIEI</w:t>
            </w:r>
          </w:p>
          <w:p w14:paraId="3A399E38" w14:textId="39D6B748" w:rsidR="00500692" w:rsidRPr="00B650D9" w:rsidRDefault="00500692" w:rsidP="004E2DB8">
            <w:pPr>
              <w:autoSpaceDE w:val="0"/>
              <w:autoSpaceDN w:val="0"/>
              <w:adjustRightInd w:val="0"/>
              <w:spacing w:after="120"/>
              <w:jc w:val="center"/>
              <w:rPr>
                <w:b/>
                <w:bCs/>
              </w:rPr>
            </w:pPr>
            <w:r w:rsidRPr="00B650D9">
              <w:rPr>
                <w:b/>
                <w:bCs/>
              </w:rPr>
              <w:t>Marian-Cătălin PREDOIU</w:t>
            </w:r>
          </w:p>
        </w:tc>
      </w:tr>
      <w:bookmarkEnd w:id="2"/>
    </w:tbl>
    <w:p w14:paraId="4EEAAB22" w14:textId="2AF56F45" w:rsidR="00926AC5" w:rsidRPr="00B650D9" w:rsidRDefault="00926AC5" w:rsidP="001276B3">
      <w:pPr>
        <w:autoSpaceDE w:val="0"/>
        <w:autoSpaceDN w:val="0"/>
        <w:adjustRightInd w:val="0"/>
        <w:spacing w:after="120"/>
        <w:jc w:val="both"/>
      </w:pPr>
    </w:p>
    <w:sectPr w:rsidR="00926AC5" w:rsidRPr="00B650D9" w:rsidSect="00AC4168">
      <w:footerReference w:type="even" r:id="rId8"/>
      <w:footerReference w:type="default" r:id="rId9"/>
      <w:pgSz w:w="12240" w:h="15840"/>
      <w:pgMar w:top="1170" w:right="851" w:bottom="1620" w:left="851" w:header="709" w:footer="13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BA4C2" w14:textId="77777777" w:rsidR="00345630" w:rsidRDefault="00345630">
      <w:r>
        <w:separator/>
      </w:r>
    </w:p>
  </w:endnote>
  <w:endnote w:type="continuationSeparator" w:id="0">
    <w:p w14:paraId="526F2017" w14:textId="77777777" w:rsidR="00345630" w:rsidRDefault="00345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78418" w14:textId="7D884A0C" w:rsidR="00EA23CB" w:rsidRDefault="00670C79" w:rsidP="00AC7A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F3F12">
      <w:rPr>
        <w:rStyle w:val="PageNumber"/>
        <w:noProof/>
      </w:rPr>
      <w:t>11</w:t>
    </w:r>
    <w:r>
      <w:rPr>
        <w:rStyle w:val="PageNumber"/>
      </w:rPr>
      <w:fldChar w:fldCharType="end"/>
    </w:r>
  </w:p>
  <w:p w14:paraId="70733C72" w14:textId="77777777" w:rsidR="00EA23CB" w:rsidRDefault="00000000" w:rsidP="001C58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5303692"/>
      <w:docPartObj>
        <w:docPartGallery w:val="Page Numbers (Bottom of Page)"/>
        <w:docPartUnique/>
      </w:docPartObj>
    </w:sdtPr>
    <w:sdtEndPr>
      <w:rPr>
        <w:noProof/>
      </w:rPr>
    </w:sdtEndPr>
    <w:sdtContent>
      <w:p w14:paraId="5EEA7C05" w14:textId="1575EF56" w:rsidR="007F3F12" w:rsidRDefault="007F3F12">
        <w:pPr>
          <w:pStyle w:val="Footer"/>
          <w:jc w:val="right"/>
        </w:pPr>
        <w:r>
          <w:fldChar w:fldCharType="begin"/>
        </w:r>
        <w:r>
          <w:instrText xml:space="preserve"> PAGE   \* MERGEFORMAT </w:instrText>
        </w:r>
        <w:r>
          <w:fldChar w:fldCharType="separate"/>
        </w:r>
        <w:r w:rsidR="00B650D9">
          <w:rPr>
            <w:noProof/>
          </w:rPr>
          <w:t>12</w:t>
        </w:r>
        <w:r>
          <w:rPr>
            <w:noProof/>
          </w:rPr>
          <w:fldChar w:fldCharType="end"/>
        </w:r>
      </w:p>
    </w:sdtContent>
  </w:sdt>
  <w:p w14:paraId="0C442F9A" w14:textId="77777777" w:rsidR="00EA23CB" w:rsidRDefault="00000000" w:rsidP="001C581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1DDBA" w14:textId="77777777" w:rsidR="00345630" w:rsidRDefault="00345630">
      <w:r>
        <w:separator/>
      </w:r>
    </w:p>
  </w:footnote>
  <w:footnote w:type="continuationSeparator" w:id="0">
    <w:p w14:paraId="2F0B5027" w14:textId="77777777" w:rsidR="00345630" w:rsidRDefault="003456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C3AD9"/>
    <w:multiLevelType w:val="hybridMultilevel"/>
    <w:tmpl w:val="38C2D7AA"/>
    <w:lvl w:ilvl="0" w:tplc="92C04A28">
      <w:start w:val="2"/>
      <w:numFmt w:val="bullet"/>
      <w:lvlText w:val="-"/>
      <w:lvlJc w:val="left"/>
      <w:pPr>
        <w:ind w:left="779" w:hanging="360"/>
      </w:pPr>
      <w:rPr>
        <w:rFonts w:ascii="Trebuchet MS" w:eastAsiaTheme="minorHAnsi" w:hAnsi="Trebuchet MS" w:cstheme="minorBidi" w:hint="default"/>
      </w:rPr>
    </w:lvl>
    <w:lvl w:ilvl="1" w:tplc="04090003" w:tentative="1">
      <w:start w:val="1"/>
      <w:numFmt w:val="bullet"/>
      <w:lvlText w:val="o"/>
      <w:lvlJc w:val="left"/>
      <w:pPr>
        <w:ind w:left="1499" w:hanging="360"/>
      </w:pPr>
      <w:rPr>
        <w:rFonts w:ascii="Courier New" w:hAnsi="Courier New" w:cs="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cs="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cs="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 w15:restartNumberingAfterBreak="0">
    <w:nsid w:val="0BD465A5"/>
    <w:multiLevelType w:val="hybridMultilevel"/>
    <w:tmpl w:val="55CA82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D24B69"/>
    <w:multiLevelType w:val="hybridMultilevel"/>
    <w:tmpl w:val="AFA4C696"/>
    <w:lvl w:ilvl="0" w:tplc="04090001">
      <w:start w:val="1"/>
      <w:numFmt w:val="bullet"/>
      <w:lvlText w:val=""/>
      <w:lvlJc w:val="left"/>
      <w:pPr>
        <w:ind w:left="779" w:hanging="360"/>
      </w:pPr>
      <w:rPr>
        <w:rFonts w:ascii="Symbol" w:hAnsi="Symbol" w:hint="default"/>
      </w:rPr>
    </w:lvl>
    <w:lvl w:ilvl="1" w:tplc="04090003" w:tentative="1">
      <w:start w:val="1"/>
      <w:numFmt w:val="bullet"/>
      <w:lvlText w:val="o"/>
      <w:lvlJc w:val="left"/>
      <w:pPr>
        <w:ind w:left="1499" w:hanging="360"/>
      </w:pPr>
      <w:rPr>
        <w:rFonts w:ascii="Courier New" w:hAnsi="Courier New" w:cs="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cs="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cs="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 w15:restartNumberingAfterBreak="0">
    <w:nsid w:val="10DA3863"/>
    <w:multiLevelType w:val="hybridMultilevel"/>
    <w:tmpl w:val="8F3EDD4E"/>
    <w:lvl w:ilvl="0" w:tplc="FF4228E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B84429"/>
    <w:multiLevelType w:val="hybridMultilevel"/>
    <w:tmpl w:val="1150A4A6"/>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5" w15:restartNumberingAfterBreak="0">
    <w:nsid w:val="12E46E06"/>
    <w:multiLevelType w:val="hybridMultilevel"/>
    <w:tmpl w:val="506244A8"/>
    <w:lvl w:ilvl="0" w:tplc="92C04A28">
      <w:start w:val="2"/>
      <w:numFmt w:val="bullet"/>
      <w:lvlText w:val="-"/>
      <w:lvlJc w:val="left"/>
      <w:pPr>
        <w:ind w:left="779"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200849"/>
    <w:multiLevelType w:val="hybridMultilevel"/>
    <w:tmpl w:val="4AC27764"/>
    <w:lvl w:ilvl="0" w:tplc="B5D6570E">
      <w:numFmt w:val="bullet"/>
      <w:lvlText w:val="-"/>
      <w:lvlJc w:val="left"/>
      <w:pPr>
        <w:ind w:left="1080" w:hanging="720"/>
      </w:pPr>
      <w:rPr>
        <w:rFonts w:ascii="Trebuchet MS" w:eastAsiaTheme="minorHAnsi"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C52885"/>
    <w:multiLevelType w:val="hybridMultilevel"/>
    <w:tmpl w:val="228A6CCC"/>
    <w:lvl w:ilvl="0" w:tplc="788AA9C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0410F6"/>
    <w:multiLevelType w:val="hybridMultilevel"/>
    <w:tmpl w:val="A732D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863359"/>
    <w:multiLevelType w:val="hybridMultilevel"/>
    <w:tmpl w:val="55C262E8"/>
    <w:lvl w:ilvl="0" w:tplc="788AA9C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A3487A"/>
    <w:multiLevelType w:val="hybridMultilevel"/>
    <w:tmpl w:val="76A40B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C5E3BB0"/>
    <w:multiLevelType w:val="hybridMultilevel"/>
    <w:tmpl w:val="81C2583E"/>
    <w:lvl w:ilvl="0" w:tplc="0D6C67E0">
      <w:start w:val="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D7B14E4"/>
    <w:multiLevelType w:val="hybridMultilevel"/>
    <w:tmpl w:val="5652E1E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3352AF1"/>
    <w:multiLevelType w:val="multilevel"/>
    <w:tmpl w:val="48A66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6D1365F"/>
    <w:multiLevelType w:val="hybridMultilevel"/>
    <w:tmpl w:val="576421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88748DC"/>
    <w:multiLevelType w:val="hybridMultilevel"/>
    <w:tmpl w:val="FBF0D614"/>
    <w:lvl w:ilvl="0" w:tplc="D49C109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6914BB"/>
    <w:multiLevelType w:val="hybridMultilevel"/>
    <w:tmpl w:val="F190BD8E"/>
    <w:lvl w:ilvl="0" w:tplc="788AA9C2">
      <w:start w:val="202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502D5A"/>
    <w:multiLevelType w:val="hybridMultilevel"/>
    <w:tmpl w:val="24CE5258"/>
    <w:lvl w:ilvl="0" w:tplc="DE4A5BC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3619EE"/>
    <w:multiLevelType w:val="hybridMultilevel"/>
    <w:tmpl w:val="E10C1FEE"/>
    <w:lvl w:ilvl="0" w:tplc="A2C255E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1D40AD"/>
    <w:multiLevelType w:val="hybridMultilevel"/>
    <w:tmpl w:val="EFF2C3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7D34BA"/>
    <w:multiLevelType w:val="hybridMultilevel"/>
    <w:tmpl w:val="E8E8AF7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5AF2B95"/>
    <w:multiLevelType w:val="multilevel"/>
    <w:tmpl w:val="3E72091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EA631FA"/>
    <w:multiLevelType w:val="hybridMultilevel"/>
    <w:tmpl w:val="D68EB3A2"/>
    <w:lvl w:ilvl="0" w:tplc="EE5621E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02D4BD3"/>
    <w:multiLevelType w:val="hybridMultilevel"/>
    <w:tmpl w:val="5DFA9BE6"/>
    <w:lvl w:ilvl="0" w:tplc="788AA9C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2753710"/>
    <w:multiLevelType w:val="hybridMultilevel"/>
    <w:tmpl w:val="D05AA9A2"/>
    <w:lvl w:ilvl="0" w:tplc="23E447B8">
      <w:start w:val="2"/>
      <w:numFmt w:val="bullet"/>
      <w:lvlText w:val="-"/>
      <w:lvlJc w:val="left"/>
      <w:pPr>
        <w:ind w:left="779" w:hanging="360"/>
      </w:pPr>
      <w:rPr>
        <w:rFonts w:ascii="Trebuchet MS" w:eastAsiaTheme="minorHAnsi" w:hAnsi="Trebuchet MS" w:cstheme="minorBidi" w:hint="default"/>
      </w:rPr>
    </w:lvl>
    <w:lvl w:ilvl="1" w:tplc="04090003" w:tentative="1">
      <w:start w:val="1"/>
      <w:numFmt w:val="bullet"/>
      <w:lvlText w:val="o"/>
      <w:lvlJc w:val="left"/>
      <w:pPr>
        <w:ind w:left="1499" w:hanging="360"/>
      </w:pPr>
      <w:rPr>
        <w:rFonts w:ascii="Courier New" w:hAnsi="Courier New" w:cs="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cs="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cs="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5" w15:restartNumberingAfterBreak="0">
    <w:nsid w:val="78AF1295"/>
    <w:multiLevelType w:val="hybridMultilevel"/>
    <w:tmpl w:val="0CF8FBF8"/>
    <w:lvl w:ilvl="0" w:tplc="04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6" w15:restartNumberingAfterBreak="0">
    <w:nsid w:val="79B149B5"/>
    <w:multiLevelType w:val="hybridMultilevel"/>
    <w:tmpl w:val="C32CF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D587E24"/>
    <w:multiLevelType w:val="hybridMultilevel"/>
    <w:tmpl w:val="84C4FC1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28" w15:restartNumberingAfterBreak="0">
    <w:nsid w:val="7D9D565A"/>
    <w:multiLevelType w:val="hybridMultilevel"/>
    <w:tmpl w:val="7494B6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21" w:hanging="360"/>
      </w:pPr>
      <w:rPr>
        <w:rFonts w:ascii="Courier New" w:hAnsi="Courier New" w:cs="Courier New" w:hint="default"/>
      </w:rPr>
    </w:lvl>
    <w:lvl w:ilvl="2" w:tplc="04090005" w:tentative="1">
      <w:start w:val="1"/>
      <w:numFmt w:val="bullet"/>
      <w:lvlText w:val=""/>
      <w:lvlJc w:val="left"/>
      <w:pPr>
        <w:ind w:left="1741" w:hanging="360"/>
      </w:pPr>
      <w:rPr>
        <w:rFonts w:ascii="Wingdings" w:hAnsi="Wingdings" w:hint="default"/>
      </w:rPr>
    </w:lvl>
    <w:lvl w:ilvl="3" w:tplc="04090001" w:tentative="1">
      <w:start w:val="1"/>
      <w:numFmt w:val="bullet"/>
      <w:lvlText w:val=""/>
      <w:lvlJc w:val="left"/>
      <w:pPr>
        <w:ind w:left="2461" w:hanging="360"/>
      </w:pPr>
      <w:rPr>
        <w:rFonts w:ascii="Symbol" w:hAnsi="Symbol" w:hint="default"/>
      </w:rPr>
    </w:lvl>
    <w:lvl w:ilvl="4" w:tplc="04090003" w:tentative="1">
      <w:start w:val="1"/>
      <w:numFmt w:val="bullet"/>
      <w:lvlText w:val="o"/>
      <w:lvlJc w:val="left"/>
      <w:pPr>
        <w:ind w:left="3181" w:hanging="360"/>
      </w:pPr>
      <w:rPr>
        <w:rFonts w:ascii="Courier New" w:hAnsi="Courier New" w:cs="Courier New" w:hint="default"/>
      </w:rPr>
    </w:lvl>
    <w:lvl w:ilvl="5" w:tplc="04090005" w:tentative="1">
      <w:start w:val="1"/>
      <w:numFmt w:val="bullet"/>
      <w:lvlText w:val=""/>
      <w:lvlJc w:val="left"/>
      <w:pPr>
        <w:ind w:left="3901" w:hanging="360"/>
      </w:pPr>
      <w:rPr>
        <w:rFonts w:ascii="Wingdings" w:hAnsi="Wingdings" w:hint="default"/>
      </w:rPr>
    </w:lvl>
    <w:lvl w:ilvl="6" w:tplc="04090001" w:tentative="1">
      <w:start w:val="1"/>
      <w:numFmt w:val="bullet"/>
      <w:lvlText w:val=""/>
      <w:lvlJc w:val="left"/>
      <w:pPr>
        <w:ind w:left="4621" w:hanging="360"/>
      </w:pPr>
      <w:rPr>
        <w:rFonts w:ascii="Symbol" w:hAnsi="Symbol" w:hint="default"/>
      </w:rPr>
    </w:lvl>
    <w:lvl w:ilvl="7" w:tplc="04090003" w:tentative="1">
      <w:start w:val="1"/>
      <w:numFmt w:val="bullet"/>
      <w:lvlText w:val="o"/>
      <w:lvlJc w:val="left"/>
      <w:pPr>
        <w:ind w:left="5341" w:hanging="360"/>
      </w:pPr>
      <w:rPr>
        <w:rFonts w:ascii="Courier New" w:hAnsi="Courier New" w:cs="Courier New" w:hint="default"/>
      </w:rPr>
    </w:lvl>
    <w:lvl w:ilvl="8" w:tplc="04090005" w:tentative="1">
      <w:start w:val="1"/>
      <w:numFmt w:val="bullet"/>
      <w:lvlText w:val=""/>
      <w:lvlJc w:val="left"/>
      <w:pPr>
        <w:ind w:left="6061" w:hanging="360"/>
      </w:pPr>
      <w:rPr>
        <w:rFonts w:ascii="Wingdings" w:hAnsi="Wingdings" w:hint="default"/>
      </w:rPr>
    </w:lvl>
  </w:abstractNum>
  <w:abstractNum w:abstractNumId="29" w15:restartNumberingAfterBreak="0">
    <w:nsid w:val="7DF500CA"/>
    <w:multiLevelType w:val="hybridMultilevel"/>
    <w:tmpl w:val="D12E5952"/>
    <w:lvl w:ilvl="0" w:tplc="B53686AA">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BC113F"/>
    <w:multiLevelType w:val="hybridMultilevel"/>
    <w:tmpl w:val="98D22CD4"/>
    <w:lvl w:ilvl="0" w:tplc="5B14844A">
      <w:start w:val="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4781136">
    <w:abstractNumId w:val="1"/>
  </w:num>
  <w:num w:numId="2" w16cid:durableId="572012348">
    <w:abstractNumId w:val="27"/>
  </w:num>
  <w:num w:numId="3" w16cid:durableId="1712026180">
    <w:abstractNumId w:val="22"/>
  </w:num>
  <w:num w:numId="4" w16cid:durableId="777408253">
    <w:abstractNumId w:val="3"/>
  </w:num>
  <w:num w:numId="5" w16cid:durableId="643126094">
    <w:abstractNumId w:val="13"/>
  </w:num>
  <w:num w:numId="6" w16cid:durableId="670957571">
    <w:abstractNumId w:val="26"/>
  </w:num>
  <w:num w:numId="7" w16cid:durableId="2146315438">
    <w:abstractNumId w:val="11"/>
  </w:num>
  <w:num w:numId="8" w16cid:durableId="39026880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76151723">
    <w:abstractNumId w:val="25"/>
  </w:num>
  <w:num w:numId="10" w16cid:durableId="975138616">
    <w:abstractNumId w:val="19"/>
  </w:num>
  <w:num w:numId="11" w16cid:durableId="1820262412">
    <w:abstractNumId w:val="14"/>
  </w:num>
  <w:num w:numId="12" w16cid:durableId="1399091211">
    <w:abstractNumId w:val="10"/>
  </w:num>
  <w:num w:numId="13" w16cid:durableId="634994796">
    <w:abstractNumId w:val="7"/>
  </w:num>
  <w:num w:numId="14" w16cid:durableId="111091805">
    <w:abstractNumId w:val="12"/>
  </w:num>
  <w:num w:numId="15" w16cid:durableId="257716620">
    <w:abstractNumId w:val="2"/>
  </w:num>
  <w:num w:numId="16" w16cid:durableId="1495681352">
    <w:abstractNumId w:val="24"/>
  </w:num>
  <w:num w:numId="17" w16cid:durableId="1767580612">
    <w:abstractNumId w:val="28"/>
  </w:num>
  <w:num w:numId="18" w16cid:durableId="771123986">
    <w:abstractNumId w:val="0"/>
  </w:num>
  <w:num w:numId="19" w16cid:durableId="1697267427">
    <w:abstractNumId w:val="5"/>
  </w:num>
  <w:num w:numId="20" w16cid:durableId="1642267958">
    <w:abstractNumId w:val="4"/>
  </w:num>
  <w:num w:numId="21" w16cid:durableId="640504177">
    <w:abstractNumId w:val="17"/>
  </w:num>
  <w:num w:numId="22" w16cid:durableId="1717386819">
    <w:abstractNumId w:val="21"/>
  </w:num>
  <w:num w:numId="23" w16cid:durableId="1397821425">
    <w:abstractNumId w:val="15"/>
  </w:num>
  <w:num w:numId="24" w16cid:durableId="778568976">
    <w:abstractNumId w:val="8"/>
  </w:num>
  <w:num w:numId="25" w16cid:durableId="448819053">
    <w:abstractNumId w:val="6"/>
  </w:num>
  <w:num w:numId="26" w16cid:durableId="151915057">
    <w:abstractNumId w:val="18"/>
  </w:num>
  <w:num w:numId="27" w16cid:durableId="2080976608">
    <w:abstractNumId w:val="20"/>
  </w:num>
  <w:num w:numId="28" w16cid:durableId="266275725">
    <w:abstractNumId w:val="30"/>
  </w:num>
  <w:num w:numId="29" w16cid:durableId="1168597016">
    <w:abstractNumId w:val="9"/>
  </w:num>
  <w:num w:numId="30" w16cid:durableId="700326291">
    <w:abstractNumId w:val="23"/>
  </w:num>
  <w:num w:numId="31" w16cid:durableId="1735542633">
    <w:abstractNumId w:val="16"/>
  </w:num>
  <w:num w:numId="32" w16cid:durableId="114361884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EA6"/>
    <w:rsid w:val="000012F1"/>
    <w:rsid w:val="000019B6"/>
    <w:rsid w:val="00002E4A"/>
    <w:rsid w:val="000040A1"/>
    <w:rsid w:val="000042B4"/>
    <w:rsid w:val="00006F20"/>
    <w:rsid w:val="0000707B"/>
    <w:rsid w:val="00012F4C"/>
    <w:rsid w:val="0001318A"/>
    <w:rsid w:val="00013621"/>
    <w:rsid w:val="0001442E"/>
    <w:rsid w:val="000147C8"/>
    <w:rsid w:val="00014A37"/>
    <w:rsid w:val="000155D5"/>
    <w:rsid w:val="000160F3"/>
    <w:rsid w:val="000173F2"/>
    <w:rsid w:val="00017D04"/>
    <w:rsid w:val="00020122"/>
    <w:rsid w:val="00020EBB"/>
    <w:rsid w:val="0002169B"/>
    <w:rsid w:val="0002299E"/>
    <w:rsid w:val="00024F37"/>
    <w:rsid w:val="00025015"/>
    <w:rsid w:val="000260DD"/>
    <w:rsid w:val="00026460"/>
    <w:rsid w:val="000265F7"/>
    <w:rsid w:val="00026B13"/>
    <w:rsid w:val="00027469"/>
    <w:rsid w:val="000303AD"/>
    <w:rsid w:val="00031D8D"/>
    <w:rsid w:val="0003205B"/>
    <w:rsid w:val="00034E58"/>
    <w:rsid w:val="00035D17"/>
    <w:rsid w:val="000369EF"/>
    <w:rsid w:val="000400DF"/>
    <w:rsid w:val="00040B7B"/>
    <w:rsid w:val="0004147F"/>
    <w:rsid w:val="00043471"/>
    <w:rsid w:val="00043911"/>
    <w:rsid w:val="00044209"/>
    <w:rsid w:val="0004452D"/>
    <w:rsid w:val="00046B44"/>
    <w:rsid w:val="000503A8"/>
    <w:rsid w:val="00050CEF"/>
    <w:rsid w:val="00053279"/>
    <w:rsid w:val="00054869"/>
    <w:rsid w:val="00054DF8"/>
    <w:rsid w:val="00055177"/>
    <w:rsid w:val="000563C0"/>
    <w:rsid w:val="00057629"/>
    <w:rsid w:val="00057CAD"/>
    <w:rsid w:val="00057EC8"/>
    <w:rsid w:val="00060E2F"/>
    <w:rsid w:val="00061E6F"/>
    <w:rsid w:val="0006216F"/>
    <w:rsid w:val="000626E3"/>
    <w:rsid w:val="00062BA0"/>
    <w:rsid w:val="0006409E"/>
    <w:rsid w:val="00064A6B"/>
    <w:rsid w:val="00064E28"/>
    <w:rsid w:val="00065A56"/>
    <w:rsid w:val="00070830"/>
    <w:rsid w:val="00072949"/>
    <w:rsid w:val="00073195"/>
    <w:rsid w:val="000733D3"/>
    <w:rsid w:val="0007344F"/>
    <w:rsid w:val="00074122"/>
    <w:rsid w:val="0007609F"/>
    <w:rsid w:val="00076C55"/>
    <w:rsid w:val="00077958"/>
    <w:rsid w:val="000808EE"/>
    <w:rsid w:val="00081475"/>
    <w:rsid w:val="00083DB6"/>
    <w:rsid w:val="00083EAF"/>
    <w:rsid w:val="00084688"/>
    <w:rsid w:val="00084EE5"/>
    <w:rsid w:val="00084F56"/>
    <w:rsid w:val="00085904"/>
    <w:rsid w:val="00086114"/>
    <w:rsid w:val="00087383"/>
    <w:rsid w:val="00087C48"/>
    <w:rsid w:val="00090676"/>
    <w:rsid w:val="0009222E"/>
    <w:rsid w:val="00092376"/>
    <w:rsid w:val="0009320D"/>
    <w:rsid w:val="00094481"/>
    <w:rsid w:val="000949D2"/>
    <w:rsid w:val="00094AE3"/>
    <w:rsid w:val="00095300"/>
    <w:rsid w:val="0009621B"/>
    <w:rsid w:val="00096DD6"/>
    <w:rsid w:val="000978F6"/>
    <w:rsid w:val="000A06E8"/>
    <w:rsid w:val="000A0B38"/>
    <w:rsid w:val="000A4289"/>
    <w:rsid w:val="000A437E"/>
    <w:rsid w:val="000A6298"/>
    <w:rsid w:val="000A71F1"/>
    <w:rsid w:val="000B036B"/>
    <w:rsid w:val="000B12C8"/>
    <w:rsid w:val="000B1818"/>
    <w:rsid w:val="000B391A"/>
    <w:rsid w:val="000B3D76"/>
    <w:rsid w:val="000B4945"/>
    <w:rsid w:val="000B4DE0"/>
    <w:rsid w:val="000B55D8"/>
    <w:rsid w:val="000B57E6"/>
    <w:rsid w:val="000B650E"/>
    <w:rsid w:val="000B665D"/>
    <w:rsid w:val="000B7506"/>
    <w:rsid w:val="000B753E"/>
    <w:rsid w:val="000C042E"/>
    <w:rsid w:val="000C3277"/>
    <w:rsid w:val="000C3586"/>
    <w:rsid w:val="000C3625"/>
    <w:rsid w:val="000C4A4F"/>
    <w:rsid w:val="000C54A4"/>
    <w:rsid w:val="000C614B"/>
    <w:rsid w:val="000C620D"/>
    <w:rsid w:val="000C7D63"/>
    <w:rsid w:val="000C7EAF"/>
    <w:rsid w:val="000C7EEC"/>
    <w:rsid w:val="000D0002"/>
    <w:rsid w:val="000D0889"/>
    <w:rsid w:val="000D0E76"/>
    <w:rsid w:val="000D23B9"/>
    <w:rsid w:val="000D2B20"/>
    <w:rsid w:val="000D315E"/>
    <w:rsid w:val="000D3B76"/>
    <w:rsid w:val="000D403B"/>
    <w:rsid w:val="000D4132"/>
    <w:rsid w:val="000D4700"/>
    <w:rsid w:val="000D4C09"/>
    <w:rsid w:val="000D5B0B"/>
    <w:rsid w:val="000E04D7"/>
    <w:rsid w:val="000E0530"/>
    <w:rsid w:val="000E0EA4"/>
    <w:rsid w:val="000E12A6"/>
    <w:rsid w:val="000E2C2D"/>
    <w:rsid w:val="000E307E"/>
    <w:rsid w:val="000E3A58"/>
    <w:rsid w:val="000E4AAB"/>
    <w:rsid w:val="000E69A0"/>
    <w:rsid w:val="000E6FCF"/>
    <w:rsid w:val="000E74F5"/>
    <w:rsid w:val="000E7634"/>
    <w:rsid w:val="000E79D0"/>
    <w:rsid w:val="000F0CFD"/>
    <w:rsid w:val="000F26C2"/>
    <w:rsid w:val="000F40EF"/>
    <w:rsid w:val="000F5ED0"/>
    <w:rsid w:val="000F6105"/>
    <w:rsid w:val="000F7896"/>
    <w:rsid w:val="00100251"/>
    <w:rsid w:val="00101A9B"/>
    <w:rsid w:val="001023B0"/>
    <w:rsid w:val="0010482B"/>
    <w:rsid w:val="00104A0A"/>
    <w:rsid w:val="00105808"/>
    <w:rsid w:val="001066A5"/>
    <w:rsid w:val="001067AA"/>
    <w:rsid w:val="00106FB3"/>
    <w:rsid w:val="00106FE8"/>
    <w:rsid w:val="00107736"/>
    <w:rsid w:val="00107740"/>
    <w:rsid w:val="001077E3"/>
    <w:rsid w:val="00107E28"/>
    <w:rsid w:val="001110AD"/>
    <w:rsid w:val="001110C2"/>
    <w:rsid w:val="001110D7"/>
    <w:rsid w:val="00112E9E"/>
    <w:rsid w:val="001147BA"/>
    <w:rsid w:val="0011501B"/>
    <w:rsid w:val="00115083"/>
    <w:rsid w:val="00115131"/>
    <w:rsid w:val="00117E2C"/>
    <w:rsid w:val="0012007E"/>
    <w:rsid w:val="0012061B"/>
    <w:rsid w:val="0012118B"/>
    <w:rsid w:val="00121CCC"/>
    <w:rsid w:val="001250F7"/>
    <w:rsid w:val="00125245"/>
    <w:rsid w:val="00126BBF"/>
    <w:rsid w:val="001276B3"/>
    <w:rsid w:val="00130ADF"/>
    <w:rsid w:val="00131265"/>
    <w:rsid w:val="00131281"/>
    <w:rsid w:val="001313D8"/>
    <w:rsid w:val="0013230E"/>
    <w:rsid w:val="00133A3B"/>
    <w:rsid w:val="0013499A"/>
    <w:rsid w:val="0013619D"/>
    <w:rsid w:val="0013676D"/>
    <w:rsid w:val="00137A13"/>
    <w:rsid w:val="001440EA"/>
    <w:rsid w:val="001450F5"/>
    <w:rsid w:val="001459BC"/>
    <w:rsid w:val="0014608E"/>
    <w:rsid w:val="0014728C"/>
    <w:rsid w:val="001500EA"/>
    <w:rsid w:val="00152085"/>
    <w:rsid w:val="001528E8"/>
    <w:rsid w:val="001530F4"/>
    <w:rsid w:val="00153B2A"/>
    <w:rsid w:val="0015446A"/>
    <w:rsid w:val="001544DC"/>
    <w:rsid w:val="0015483E"/>
    <w:rsid w:val="001557C6"/>
    <w:rsid w:val="0015694A"/>
    <w:rsid w:val="0015762E"/>
    <w:rsid w:val="00157B5B"/>
    <w:rsid w:val="00160148"/>
    <w:rsid w:val="00161A61"/>
    <w:rsid w:val="00164F79"/>
    <w:rsid w:val="00164FF3"/>
    <w:rsid w:val="00165A07"/>
    <w:rsid w:val="00165C92"/>
    <w:rsid w:val="00165D35"/>
    <w:rsid w:val="00166810"/>
    <w:rsid w:val="0016702F"/>
    <w:rsid w:val="0016785A"/>
    <w:rsid w:val="00167EF9"/>
    <w:rsid w:val="0017030A"/>
    <w:rsid w:val="00170D4E"/>
    <w:rsid w:val="00172493"/>
    <w:rsid w:val="00173986"/>
    <w:rsid w:val="0017515D"/>
    <w:rsid w:val="0017630C"/>
    <w:rsid w:val="001776C1"/>
    <w:rsid w:val="00177CD3"/>
    <w:rsid w:val="00177E3B"/>
    <w:rsid w:val="00177EC3"/>
    <w:rsid w:val="00180493"/>
    <w:rsid w:val="00180B7B"/>
    <w:rsid w:val="00180DB8"/>
    <w:rsid w:val="00181323"/>
    <w:rsid w:val="0018173D"/>
    <w:rsid w:val="00181DB6"/>
    <w:rsid w:val="00181E9C"/>
    <w:rsid w:val="00182DB3"/>
    <w:rsid w:val="00183326"/>
    <w:rsid w:val="001860EC"/>
    <w:rsid w:val="0019189C"/>
    <w:rsid w:val="001919CC"/>
    <w:rsid w:val="0019387C"/>
    <w:rsid w:val="001945C9"/>
    <w:rsid w:val="0019599B"/>
    <w:rsid w:val="001974DE"/>
    <w:rsid w:val="001A0854"/>
    <w:rsid w:val="001A0AEA"/>
    <w:rsid w:val="001A1AA3"/>
    <w:rsid w:val="001A1AE5"/>
    <w:rsid w:val="001A1D31"/>
    <w:rsid w:val="001A2A6E"/>
    <w:rsid w:val="001A374F"/>
    <w:rsid w:val="001A4420"/>
    <w:rsid w:val="001A78A0"/>
    <w:rsid w:val="001A7C31"/>
    <w:rsid w:val="001B1912"/>
    <w:rsid w:val="001B1AD6"/>
    <w:rsid w:val="001B224B"/>
    <w:rsid w:val="001B22D1"/>
    <w:rsid w:val="001B23D0"/>
    <w:rsid w:val="001B2B36"/>
    <w:rsid w:val="001B3B27"/>
    <w:rsid w:val="001B4FE1"/>
    <w:rsid w:val="001B6DD8"/>
    <w:rsid w:val="001B6DF3"/>
    <w:rsid w:val="001B7961"/>
    <w:rsid w:val="001B7BB2"/>
    <w:rsid w:val="001C2EA5"/>
    <w:rsid w:val="001C33B5"/>
    <w:rsid w:val="001C3EF4"/>
    <w:rsid w:val="001C4735"/>
    <w:rsid w:val="001C55B8"/>
    <w:rsid w:val="001C6BF4"/>
    <w:rsid w:val="001C7510"/>
    <w:rsid w:val="001C7F48"/>
    <w:rsid w:val="001D0467"/>
    <w:rsid w:val="001D0BD8"/>
    <w:rsid w:val="001D1F7B"/>
    <w:rsid w:val="001D66B5"/>
    <w:rsid w:val="001D7448"/>
    <w:rsid w:val="001E058E"/>
    <w:rsid w:val="001E0BD4"/>
    <w:rsid w:val="001E0CBD"/>
    <w:rsid w:val="001E0D0D"/>
    <w:rsid w:val="001E10D6"/>
    <w:rsid w:val="001E11B1"/>
    <w:rsid w:val="001E2092"/>
    <w:rsid w:val="001E236E"/>
    <w:rsid w:val="001E4B4E"/>
    <w:rsid w:val="001E5470"/>
    <w:rsid w:val="001E5514"/>
    <w:rsid w:val="001E55B3"/>
    <w:rsid w:val="001E652B"/>
    <w:rsid w:val="001E69E4"/>
    <w:rsid w:val="001E6A4B"/>
    <w:rsid w:val="001E6C5A"/>
    <w:rsid w:val="001E6C8C"/>
    <w:rsid w:val="001E708B"/>
    <w:rsid w:val="001E7255"/>
    <w:rsid w:val="001F045F"/>
    <w:rsid w:val="001F14A2"/>
    <w:rsid w:val="001F1E7E"/>
    <w:rsid w:val="001F418F"/>
    <w:rsid w:val="001F5B5E"/>
    <w:rsid w:val="001F631C"/>
    <w:rsid w:val="001F6D5C"/>
    <w:rsid w:val="001F700D"/>
    <w:rsid w:val="001F7034"/>
    <w:rsid w:val="001F733F"/>
    <w:rsid w:val="001F7465"/>
    <w:rsid w:val="001F7C0D"/>
    <w:rsid w:val="00200720"/>
    <w:rsid w:val="00201B23"/>
    <w:rsid w:val="002106FE"/>
    <w:rsid w:val="00210E9C"/>
    <w:rsid w:val="0021124B"/>
    <w:rsid w:val="00211627"/>
    <w:rsid w:val="002116FE"/>
    <w:rsid w:val="00211AF7"/>
    <w:rsid w:val="002128FB"/>
    <w:rsid w:val="00213877"/>
    <w:rsid w:val="00213BDB"/>
    <w:rsid w:val="00214287"/>
    <w:rsid w:val="00214949"/>
    <w:rsid w:val="00214F66"/>
    <w:rsid w:val="0021538C"/>
    <w:rsid w:val="002153E2"/>
    <w:rsid w:val="002158D8"/>
    <w:rsid w:val="00217238"/>
    <w:rsid w:val="00217BF3"/>
    <w:rsid w:val="00220BDB"/>
    <w:rsid w:val="00221301"/>
    <w:rsid w:val="00221987"/>
    <w:rsid w:val="00221B2B"/>
    <w:rsid w:val="00222C75"/>
    <w:rsid w:val="00223491"/>
    <w:rsid w:val="00223AFB"/>
    <w:rsid w:val="002248CC"/>
    <w:rsid w:val="00225653"/>
    <w:rsid w:val="00227A62"/>
    <w:rsid w:val="00230EAE"/>
    <w:rsid w:val="00231324"/>
    <w:rsid w:val="00231F26"/>
    <w:rsid w:val="00232ED4"/>
    <w:rsid w:val="00232F5B"/>
    <w:rsid w:val="0023360D"/>
    <w:rsid w:val="002337CA"/>
    <w:rsid w:val="00233A87"/>
    <w:rsid w:val="00233D49"/>
    <w:rsid w:val="0023404B"/>
    <w:rsid w:val="002348DD"/>
    <w:rsid w:val="00234AB0"/>
    <w:rsid w:val="00234B65"/>
    <w:rsid w:val="002354D3"/>
    <w:rsid w:val="00235F8D"/>
    <w:rsid w:val="002404DC"/>
    <w:rsid w:val="002404F7"/>
    <w:rsid w:val="0024097B"/>
    <w:rsid w:val="0024247B"/>
    <w:rsid w:val="00244CF8"/>
    <w:rsid w:val="00246A01"/>
    <w:rsid w:val="00250C5C"/>
    <w:rsid w:val="00251605"/>
    <w:rsid w:val="0025234A"/>
    <w:rsid w:val="00254620"/>
    <w:rsid w:val="0025491E"/>
    <w:rsid w:val="00256383"/>
    <w:rsid w:val="0025682E"/>
    <w:rsid w:val="00256CCD"/>
    <w:rsid w:val="0025709B"/>
    <w:rsid w:val="002606B3"/>
    <w:rsid w:val="00260E13"/>
    <w:rsid w:val="002623AD"/>
    <w:rsid w:val="00262462"/>
    <w:rsid w:val="0026264B"/>
    <w:rsid w:val="00262AAC"/>
    <w:rsid w:val="00262CFA"/>
    <w:rsid w:val="00263EF2"/>
    <w:rsid w:val="00265C90"/>
    <w:rsid w:val="00267571"/>
    <w:rsid w:val="00270287"/>
    <w:rsid w:val="00271A91"/>
    <w:rsid w:val="00271D4C"/>
    <w:rsid w:val="00272D53"/>
    <w:rsid w:val="0027308F"/>
    <w:rsid w:val="002735EF"/>
    <w:rsid w:val="00273B5F"/>
    <w:rsid w:val="002741AE"/>
    <w:rsid w:val="00275048"/>
    <w:rsid w:val="00275128"/>
    <w:rsid w:val="00275947"/>
    <w:rsid w:val="00275D3D"/>
    <w:rsid w:val="00276B03"/>
    <w:rsid w:val="0027750A"/>
    <w:rsid w:val="00280BAF"/>
    <w:rsid w:val="00282E65"/>
    <w:rsid w:val="00283DDB"/>
    <w:rsid w:val="00286173"/>
    <w:rsid w:val="00286541"/>
    <w:rsid w:val="002869DC"/>
    <w:rsid w:val="00286DEC"/>
    <w:rsid w:val="00292EC7"/>
    <w:rsid w:val="00294152"/>
    <w:rsid w:val="0029430E"/>
    <w:rsid w:val="00294D46"/>
    <w:rsid w:val="00296E92"/>
    <w:rsid w:val="00296F87"/>
    <w:rsid w:val="002A1C91"/>
    <w:rsid w:val="002A409A"/>
    <w:rsid w:val="002A41C3"/>
    <w:rsid w:val="002A4A4D"/>
    <w:rsid w:val="002A7775"/>
    <w:rsid w:val="002A7B24"/>
    <w:rsid w:val="002B14D1"/>
    <w:rsid w:val="002B2155"/>
    <w:rsid w:val="002B28B0"/>
    <w:rsid w:val="002B5204"/>
    <w:rsid w:val="002B583C"/>
    <w:rsid w:val="002B6530"/>
    <w:rsid w:val="002B689E"/>
    <w:rsid w:val="002B7888"/>
    <w:rsid w:val="002C0F96"/>
    <w:rsid w:val="002C122C"/>
    <w:rsid w:val="002C129E"/>
    <w:rsid w:val="002C1C7F"/>
    <w:rsid w:val="002C2114"/>
    <w:rsid w:val="002C24DC"/>
    <w:rsid w:val="002C24FC"/>
    <w:rsid w:val="002C2BFE"/>
    <w:rsid w:val="002C3361"/>
    <w:rsid w:val="002C37C4"/>
    <w:rsid w:val="002C4610"/>
    <w:rsid w:val="002C5396"/>
    <w:rsid w:val="002C6EEE"/>
    <w:rsid w:val="002C7635"/>
    <w:rsid w:val="002D2048"/>
    <w:rsid w:val="002D214D"/>
    <w:rsid w:val="002D3A08"/>
    <w:rsid w:val="002D3A2D"/>
    <w:rsid w:val="002D3CFD"/>
    <w:rsid w:val="002D516A"/>
    <w:rsid w:val="002D519D"/>
    <w:rsid w:val="002D63DE"/>
    <w:rsid w:val="002D6892"/>
    <w:rsid w:val="002E0791"/>
    <w:rsid w:val="002E11BB"/>
    <w:rsid w:val="002E20A6"/>
    <w:rsid w:val="002E22BC"/>
    <w:rsid w:val="002E3AFC"/>
    <w:rsid w:val="002E3BEE"/>
    <w:rsid w:val="002E5329"/>
    <w:rsid w:val="002E5723"/>
    <w:rsid w:val="002E5889"/>
    <w:rsid w:val="002E6018"/>
    <w:rsid w:val="002E6BA8"/>
    <w:rsid w:val="002E74DC"/>
    <w:rsid w:val="002E7997"/>
    <w:rsid w:val="002E7E37"/>
    <w:rsid w:val="002F01BF"/>
    <w:rsid w:val="002F09EE"/>
    <w:rsid w:val="002F0CE9"/>
    <w:rsid w:val="002F1A5E"/>
    <w:rsid w:val="002F2645"/>
    <w:rsid w:val="002F2707"/>
    <w:rsid w:val="002F36E2"/>
    <w:rsid w:val="002F4425"/>
    <w:rsid w:val="003001F6"/>
    <w:rsid w:val="0030050A"/>
    <w:rsid w:val="00300E1C"/>
    <w:rsid w:val="00302ADB"/>
    <w:rsid w:val="00302D6F"/>
    <w:rsid w:val="00302EF5"/>
    <w:rsid w:val="003034B1"/>
    <w:rsid w:val="00304361"/>
    <w:rsid w:val="00304748"/>
    <w:rsid w:val="00304CAE"/>
    <w:rsid w:val="00305061"/>
    <w:rsid w:val="0030581C"/>
    <w:rsid w:val="00305E5F"/>
    <w:rsid w:val="00306119"/>
    <w:rsid w:val="00310F12"/>
    <w:rsid w:val="00310F95"/>
    <w:rsid w:val="00312439"/>
    <w:rsid w:val="003127E6"/>
    <w:rsid w:val="00312E6E"/>
    <w:rsid w:val="00312FF3"/>
    <w:rsid w:val="003138A1"/>
    <w:rsid w:val="00315CB8"/>
    <w:rsid w:val="003179ED"/>
    <w:rsid w:val="00320089"/>
    <w:rsid w:val="00320940"/>
    <w:rsid w:val="00320B83"/>
    <w:rsid w:val="00322480"/>
    <w:rsid w:val="00324260"/>
    <w:rsid w:val="00324785"/>
    <w:rsid w:val="00324938"/>
    <w:rsid w:val="00325165"/>
    <w:rsid w:val="00325BC3"/>
    <w:rsid w:val="003278FD"/>
    <w:rsid w:val="00330048"/>
    <w:rsid w:val="00331203"/>
    <w:rsid w:val="00332715"/>
    <w:rsid w:val="00332FEB"/>
    <w:rsid w:val="003330AA"/>
    <w:rsid w:val="00333AB9"/>
    <w:rsid w:val="003357CA"/>
    <w:rsid w:val="00335C69"/>
    <w:rsid w:val="003411FB"/>
    <w:rsid w:val="003425F9"/>
    <w:rsid w:val="00343C61"/>
    <w:rsid w:val="00343EC0"/>
    <w:rsid w:val="00345630"/>
    <w:rsid w:val="003456BD"/>
    <w:rsid w:val="00345C6D"/>
    <w:rsid w:val="0034765C"/>
    <w:rsid w:val="00350A65"/>
    <w:rsid w:val="003525BA"/>
    <w:rsid w:val="003543EA"/>
    <w:rsid w:val="003545B2"/>
    <w:rsid w:val="003547E5"/>
    <w:rsid w:val="0035521E"/>
    <w:rsid w:val="00355320"/>
    <w:rsid w:val="00355C12"/>
    <w:rsid w:val="00356457"/>
    <w:rsid w:val="003569BD"/>
    <w:rsid w:val="00357FC9"/>
    <w:rsid w:val="003605E7"/>
    <w:rsid w:val="0036135D"/>
    <w:rsid w:val="003628FB"/>
    <w:rsid w:val="00365A86"/>
    <w:rsid w:val="00365DE7"/>
    <w:rsid w:val="003668CF"/>
    <w:rsid w:val="00370E71"/>
    <w:rsid w:val="00372CA6"/>
    <w:rsid w:val="0037322B"/>
    <w:rsid w:val="00373CF4"/>
    <w:rsid w:val="00374F8D"/>
    <w:rsid w:val="0037559F"/>
    <w:rsid w:val="0037569A"/>
    <w:rsid w:val="00375B28"/>
    <w:rsid w:val="0037675E"/>
    <w:rsid w:val="00377E94"/>
    <w:rsid w:val="00381090"/>
    <w:rsid w:val="00381CD7"/>
    <w:rsid w:val="003832B6"/>
    <w:rsid w:val="0038428D"/>
    <w:rsid w:val="00385BC3"/>
    <w:rsid w:val="003864F6"/>
    <w:rsid w:val="00386DF9"/>
    <w:rsid w:val="00390E31"/>
    <w:rsid w:val="00391737"/>
    <w:rsid w:val="0039344D"/>
    <w:rsid w:val="00393638"/>
    <w:rsid w:val="00396A04"/>
    <w:rsid w:val="00397170"/>
    <w:rsid w:val="00397570"/>
    <w:rsid w:val="003A3349"/>
    <w:rsid w:val="003A367D"/>
    <w:rsid w:val="003A404C"/>
    <w:rsid w:val="003A5F31"/>
    <w:rsid w:val="003A60A4"/>
    <w:rsid w:val="003A6698"/>
    <w:rsid w:val="003A7570"/>
    <w:rsid w:val="003A7CA2"/>
    <w:rsid w:val="003A7CC0"/>
    <w:rsid w:val="003B02B3"/>
    <w:rsid w:val="003B0C77"/>
    <w:rsid w:val="003B2329"/>
    <w:rsid w:val="003B3A2C"/>
    <w:rsid w:val="003B3F0B"/>
    <w:rsid w:val="003B424D"/>
    <w:rsid w:val="003B4A76"/>
    <w:rsid w:val="003B68CD"/>
    <w:rsid w:val="003B6E10"/>
    <w:rsid w:val="003B717D"/>
    <w:rsid w:val="003B7750"/>
    <w:rsid w:val="003C0028"/>
    <w:rsid w:val="003C1670"/>
    <w:rsid w:val="003C19BF"/>
    <w:rsid w:val="003C4D24"/>
    <w:rsid w:val="003C56CF"/>
    <w:rsid w:val="003C6B82"/>
    <w:rsid w:val="003C6D3A"/>
    <w:rsid w:val="003D092D"/>
    <w:rsid w:val="003D4A34"/>
    <w:rsid w:val="003D599A"/>
    <w:rsid w:val="003D6235"/>
    <w:rsid w:val="003D6279"/>
    <w:rsid w:val="003D64A9"/>
    <w:rsid w:val="003E080A"/>
    <w:rsid w:val="003E0917"/>
    <w:rsid w:val="003E1F52"/>
    <w:rsid w:val="003E34C2"/>
    <w:rsid w:val="003E358F"/>
    <w:rsid w:val="003E5F45"/>
    <w:rsid w:val="003E5FF2"/>
    <w:rsid w:val="003E628B"/>
    <w:rsid w:val="003E7159"/>
    <w:rsid w:val="003E715F"/>
    <w:rsid w:val="003F046A"/>
    <w:rsid w:val="003F08B7"/>
    <w:rsid w:val="003F10F8"/>
    <w:rsid w:val="003F4EA4"/>
    <w:rsid w:val="003F5CF6"/>
    <w:rsid w:val="003F6ACA"/>
    <w:rsid w:val="003F7606"/>
    <w:rsid w:val="003F7AF4"/>
    <w:rsid w:val="0040003B"/>
    <w:rsid w:val="004005AC"/>
    <w:rsid w:val="004007BE"/>
    <w:rsid w:val="00400A0B"/>
    <w:rsid w:val="00402A15"/>
    <w:rsid w:val="00403200"/>
    <w:rsid w:val="0040434F"/>
    <w:rsid w:val="00405F21"/>
    <w:rsid w:val="00406B07"/>
    <w:rsid w:val="00406E45"/>
    <w:rsid w:val="00406FBE"/>
    <w:rsid w:val="0041039C"/>
    <w:rsid w:val="00415EFE"/>
    <w:rsid w:val="004162F1"/>
    <w:rsid w:val="00416CDE"/>
    <w:rsid w:val="0042197D"/>
    <w:rsid w:val="004248D9"/>
    <w:rsid w:val="00425613"/>
    <w:rsid w:val="00425D30"/>
    <w:rsid w:val="00426482"/>
    <w:rsid w:val="004268A6"/>
    <w:rsid w:val="00427CE2"/>
    <w:rsid w:val="0043102C"/>
    <w:rsid w:val="00434D7D"/>
    <w:rsid w:val="004353EE"/>
    <w:rsid w:val="00435F83"/>
    <w:rsid w:val="004362A6"/>
    <w:rsid w:val="00440136"/>
    <w:rsid w:val="004423C9"/>
    <w:rsid w:val="0044348E"/>
    <w:rsid w:val="004449A8"/>
    <w:rsid w:val="004449F4"/>
    <w:rsid w:val="00445570"/>
    <w:rsid w:val="00445A50"/>
    <w:rsid w:val="00445B23"/>
    <w:rsid w:val="00446A81"/>
    <w:rsid w:val="00446B21"/>
    <w:rsid w:val="00446C51"/>
    <w:rsid w:val="004472F0"/>
    <w:rsid w:val="0045065F"/>
    <w:rsid w:val="00450C6C"/>
    <w:rsid w:val="00451144"/>
    <w:rsid w:val="004516D9"/>
    <w:rsid w:val="00451969"/>
    <w:rsid w:val="004524AA"/>
    <w:rsid w:val="0045328E"/>
    <w:rsid w:val="00454AB6"/>
    <w:rsid w:val="00454D72"/>
    <w:rsid w:val="004555DD"/>
    <w:rsid w:val="00455719"/>
    <w:rsid w:val="004561E9"/>
    <w:rsid w:val="004562CD"/>
    <w:rsid w:val="0045656F"/>
    <w:rsid w:val="00456611"/>
    <w:rsid w:val="004567C9"/>
    <w:rsid w:val="0046084F"/>
    <w:rsid w:val="00460CE3"/>
    <w:rsid w:val="00461DC3"/>
    <w:rsid w:val="0046279C"/>
    <w:rsid w:val="00462C37"/>
    <w:rsid w:val="00463434"/>
    <w:rsid w:val="00463E98"/>
    <w:rsid w:val="00464AED"/>
    <w:rsid w:val="0046568A"/>
    <w:rsid w:val="004701D5"/>
    <w:rsid w:val="004723F4"/>
    <w:rsid w:val="00473382"/>
    <w:rsid w:val="00473D2E"/>
    <w:rsid w:val="00473DA2"/>
    <w:rsid w:val="00474119"/>
    <w:rsid w:val="00475C30"/>
    <w:rsid w:val="004767DD"/>
    <w:rsid w:val="0047738F"/>
    <w:rsid w:val="00477DA1"/>
    <w:rsid w:val="004803F0"/>
    <w:rsid w:val="004806BE"/>
    <w:rsid w:val="004806FC"/>
    <w:rsid w:val="00480F68"/>
    <w:rsid w:val="004812A9"/>
    <w:rsid w:val="00481A82"/>
    <w:rsid w:val="004841A2"/>
    <w:rsid w:val="00484F4B"/>
    <w:rsid w:val="00486DF5"/>
    <w:rsid w:val="004909B9"/>
    <w:rsid w:val="004919A8"/>
    <w:rsid w:val="00492D8F"/>
    <w:rsid w:val="00493464"/>
    <w:rsid w:val="004939DF"/>
    <w:rsid w:val="0049586B"/>
    <w:rsid w:val="00495918"/>
    <w:rsid w:val="00495B40"/>
    <w:rsid w:val="004A0A14"/>
    <w:rsid w:val="004A2289"/>
    <w:rsid w:val="004A26E1"/>
    <w:rsid w:val="004A39EE"/>
    <w:rsid w:val="004A51ED"/>
    <w:rsid w:val="004A6FCC"/>
    <w:rsid w:val="004A7713"/>
    <w:rsid w:val="004B0E62"/>
    <w:rsid w:val="004B0FBB"/>
    <w:rsid w:val="004B13DF"/>
    <w:rsid w:val="004B1759"/>
    <w:rsid w:val="004B1ABD"/>
    <w:rsid w:val="004B23FC"/>
    <w:rsid w:val="004B254E"/>
    <w:rsid w:val="004B3C0A"/>
    <w:rsid w:val="004B3F38"/>
    <w:rsid w:val="004B64A6"/>
    <w:rsid w:val="004B6A0A"/>
    <w:rsid w:val="004B7202"/>
    <w:rsid w:val="004B7CAD"/>
    <w:rsid w:val="004C0503"/>
    <w:rsid w:val="004C07F9"/>
    <w:rsid w:val="004C103A"/>
    <w:rsid w:val="004C1092"/>
    <w:rsid w:val="004C1338"/>
    <w:rsid w:val="004C2356"/>
    <w:rsid w:val="004C7417"/>
    <w:rsid w:val="004D1B68"/>
    <w:rsid w:val="004D1FC0"/>
    <w:rsid w:val="004D210B"/>
    <w:rsid w:val="004D24D3"/>
    <w:rsid w:val="004D279E"/>
    <w:rsid w:val="004D27EE"/>
    <w:rsid w:val="004D4CFB"/>
    <w:rsid w:val="004D5BA3"/>
    <w:rsid w:val="004D6ABC"/>
    <w:rsid w:val="004D7C17"/>
    <w:rsid w:val="004E1034"/>
    <w:rsid w:val="004E13AF"/>
    <w:rsid w:val="004E2CA0"/>
    <w:rsid w:val="004E2DB8"/>
    <w:rsid w:val="004E40FD"/>
    <w:rsid w:val="004E4E79"/>
    <w:rsid w:val="004E789F"/>
    <w:rsid w:val="004F0238"/>
    <w:rsid w:val="004F068D"/>
    <w:rsid w:val="004F0E4B"/>
    <w:rsid w:val="004F1FFD"/>
    <w:rsid w:val="004F34E2"/>
    <w:rsid w:val="004F49AA"/>
    <w:rsid w:val="004F521A"/>
    <w:rsid w:val="004F551E"/>
    <w:rsid w:val="005005B8"/>
    <w:rsid w:val="00500692"/>
    <w:rsid w:val="0050109F"/>
    <w:rsid w:val="00505AF3"/>
    <w:rsid w:val="00505F5E"/>
    <w:rsid w:val="00506056"/>
    <w:rsid w:val="005066F6"/>
    <w:rsid w:val="00506BA5"/>
    <w:rsid w:val="005073AF"/>
    <w:rsid w:val="00512539"/>
    <w:rsid w:val="00513E24"/>
    <w:rsid w:val="005145E4"/>
    <w:rsid w:val="00515920"/>
    <w:rsid w:val="00515AD8"/>
    <w:rsid w:val="00515DE0"/>
    <w:rsid w:val="00520345"/>
    <w:rsid w:val="00520BE3"/>
    <w:rsid w:val="00520C0A"/>
    <w:rsid w:val="00522A8B"/>
    <w:rsid w:val="00523855"/>
    <w:rsid w:val="0052442F"/>
    <w:rsid w:val="00524BB2"/>
    <w:rsid w:val="00525FA8"/>
    <w:rsid w:val="00527866"/>
    <w:rsid w:val="00530AC8"/>
    <w:rsid w:val="0053145E"/>
    <w:rsid w:val="0053190B"/>
    <w:rsid w:val="0053303E"/>
    <w:rsid w:val="005334D1"/>
    <w:rsid w:val="005338D3"/>
    <w:rsid w:val="00533DD2"/>
    <w:rsid w:val="00533E19"/>
    <w:rsid w:val="005345B8"/>
    <w:rsid w:val="0053558D"/>
    <w:rsid w:val="0053559E"/>
    <w:rsid w:val="0053566B"/>
    <w:rsid w:val="00535C55"/>
    <w:rsid w:val="0053678B"/>
    <w:rsid w:val="00536CD0"/>
    <w:rsid w:val="00540381"/>
    <w:rsid w:val="00540F05"/>
    <w:rsid w:val="00541817"/>
    <w:rsid w:val="00542411"/>
    <w:rsid w:val="00543A0A"/>
    <w:rsid w:val="00543B17"/>
    <w:rsid w:val="005444AB"/>
    <w:rsid w:val="005452FA"/>
    <w:rsid w:val="00546B5F"/>
    <w:rsid w:val="00547142"/>
    <w:rsid w:val="005476FB"/>
    <w:rsid w:val="00547EEA"/>
    <w:rsid w:val="005514F5"/>
    <w:rsid w:val="00552EB0"/>
    <w:rsid w:val="005546BE"/>
    <w:rsid w:val="00554716"/>
    <w:rsid w:val="0055520F"/>
    <w:rsid w:val="00555BA4"/>
    <w:rsid w:val="00555D3D"/>
    <w:rsid w:val="00561803"/>
    <w:rsid w:val="00561DD5"/>
    <w:rsid w:val="005621C5"/>
    <w:rsid w:val="00562652"/>
    <w:rsid w:val="0056358F"/>
    <w:rsid w:val="005649C0"/>
    <w:rsid w:val="00565752"/>
    <w:rsid w:val="00566969"/>
    <w:rsid w:val="00566EBF"/>
    <w:rsid w:val="00571569"/>
    <w:rsid w:val="00572F66"/>
    <w:rsid w:val="00574C6C"/>
    <w:rsid w:val="00575BCE"/>
    <w:rsid w:val="0057730A"/>
    <w:rsid w:val="00577623"/>
    <w:rsid w:val="00580160"/>
    <w:rsid w:val="00580AD7"/>
    <w:rsid w:val="0058155C"/>
    <w:rsid w:val="00582047"/>
    <w:rsid w:val="00583D6C"/>
    <w:rsid w:val="00584568"/>
    <w:rsid w:val="00584995"/>
    <w:rsid w:val="00584BC8"/>
    <w:rsid w:val="00585650"/>
    <w:rsid w:val="00586890"/>
    <w:rsid w:val="00587B19"/>
    <w:rsid w:val="00591469"/>
    <w:rsid w:val="00595C2D"/>
    <w:rsid w:val="005966F6"/>
    <w:rsid w:val="0059789A"/>
    <w:rsid w:val="00597910"/>
    <w:rsid w:val="00597A47"/>
    <w:rsid w:val="005A133E"/>
    <w:rsid w:val="005A13C5"/>
    <w:rsid w:val="005A1D6C"/>
    <w:rsid w:val="005A250D"/>
    <w:rsid w:val="005A2F37"/>
    <w:rsid w:val="005A2FF2"/>
    <w:rsid w:val="005A465B"/>
    <w:rsid w:val="005A47ED"/>
    <w:rsid w:val="005A506E"/>
    <w:rsid w:val="005A5512"/>
    <w:rsid w:val="005A5A3E"/>
    <w:rsid w:val="005A5D29"/>
    <w:rsid w:val="005A7989"/>
    <w:rsid w:val="005B02AB"/>
    <w:rsid w:val="005B17BE"/>
    <w:rsid w:val="005B18ED"/>
    <w:rsid w:val="005B31F7"/>
    <w:rsid w:val="005B3992"/>
    <w:rsid w:val="005B3C0A"/>
    <w:rsid w:val="005B58FF"/>
    <w:rsid w:val="005B68C3"/>
    <w:rsid w:val="005B716F"/>
    <w:rsid w:val="005C033B"/>
    <w:rsid w:val="005C0A51"/>
    <w:rsid w:val="005C204E"/>
    <w:rsid w:val="005C22D6"/>
    <w:rsid w:val="005C2F53"/>
    <w:rsid w:val="005C5DD4"/>
    <w:rsid w:val="005D0029"/>
    <w:rsid w:val="005D05C7"/>
    <w:rsid w:val="005D2EED"/>
    <w:rsid w:val="005D33F6"/>
    <w:rsid w:val="005D3847"/>
    <w:rsid w:val="005D4320"/>
    <w:rsid w:val="005D4B0F"/>
    <w:rsid w:val="005D4D48"/>
    <w:rsid w:val="005D4F6E"/>
    <w:rsid w:val="005D66B3"/>
    <w:rsid w:val="005D6B6E"/>
    <w:rsid w:val="005E24DC"/>
    <w:rsid w:val="005E28B9"/>
    <w:rsid w:val="005E318B"/>
    <w:rsid w:val="005E34BD"/>
    <w:rsid w:val="005E494D"/>
    <w:rsid w:val="005E662E"/>
    <w:rsid w:val="005E6A7D"/>
    <w:rsid w:val="005E6BD7"/>
    <w:rsid w:val="005E71B7"/>
    <w:rsid w:val="005E72DA"/>
    <w:rsid w:val="005F0A45"/>
    <w:rsid w:val="005F0EF5"/>
    <w:rsid w:val="005F271D"/>
    <w:rsid w:val="005F27A0"/>
    <w:rsid w:val="005F2815"/>
    <w:rsid w:val="005F3CF4"/>
    <w:rsid w:val="005F6C93"/>
    <w:rsid w:val="005F6E40"/>
    <w:rsid w:val="005F7057"/>
    <w:rsid w:val="005F721A"/>
    <w:rsid w:val="00601913"/>
    <w:rsid w:val="0060421A"/>
    <w:rsid w:val="00605B74"/>
    <w:rsid w:val="00611340"/>
    <w:rsid w:val="00611644"/>
    <w:rsid w:val="0061330D"/>
    <w:rsid w:val="00615AA1"/>
    <w:rsid w:val="00615FE9"/>
    <w:rsid w:val="006174FC"/>
    <w:rsid w:val="00617DB3"/>
    <w:rsid w:val="00617EF9"/>
    <w:rsid w:val="0062007D"/>
    <w:rsid w:val="0062321F"/>
    <w:rsid w:val="006234A3"/>
    <w:rsid w:val="00623B34"/>
    <w:rsid w:val="00623B3A"/>
    <w:rsid w:val="00624E3D"/>
    <w:rsid w:val="006259CC"/>
    <w:rsid w:val="006274BF"/>
    <w:rsid w:val="006306C6"/>
    <w:rsid w:val="006308CD"/>
    <w:rsid w:val="006314DE"/>
    <w:rsid w:val="00632A54"/>
    <w:rsid w:val="0063374E"/>
    <w:rsid w:val="00634816"/>
    <w:rsid w:val="00634CC1"/>
    <w:rsid w:val="00635197"/>
    <w:rsid w:val="006351E5"/>
    <w:rsid w:val="006357E8"/>
    <w:rsid w:val="0063636E"/>
    <w:rsid w:val="006363AA"/>
    <w:rsid w:val="0063758C"/>
    <w:rsid w:val="00637985"/>
    <w:rsid w:val="00640753"/>
    <w:rsid w:val="00642FB2"/>
    <w:rsid w:val="00643DFD"/>
    <w:rsid w:val="0064474A"/>
    <w:rsid w:val="006449AD"/>
    <w:rsid w:val="00644A56"/>
    <w:rsid w:val="00644DAA"/>
    <w:rsid w:val="00645209"/>
    <w:rsid w:val="00646267"/>
    <w:rsid w:val="006465FA"/>
    <w:rsid w:val="006467F1"/>
    <w:rsid w:val="00646A8A"/>
    <w:rsid w:val="00647401"/>
    <w:rsid w:val="0064777F"/>
    <w:rsid w:val="00647931"/>
    <w:rsid w:val="00650169"/>
    <w:rsid w:val="00650F94"/>
    <w:rsid w:val="00652918"/>
    <w:rsid w:val="00652E1B"/>
    <w:rsid w:val="00652E45"/>
    <w:rsid w:val="00653F32"/>
    <w:rsid w:val="00655635"/>
    <w:rsid w:val="006556FA"/>
    <w:rsid w:val="00656BD4"/>
    <w:rsid w:val="00657111"/>
    <w:rsid w:val="00657250"/>
    <w:rsid w:val="006579E2"/>
    <w:rsid w:val="006600DC"/>
    <w:rsid w:val="00660605"/>
    <w:rsid w:val="006622B7"/>
    <w:rsid w:val="00662E0D"/>
    <w:rsid w:val="0066383C"/>
    <w:rsid w:val="00663D29"/>
    <w:rsid w:val="0066428B"/>
    <w:rsid w:val="00664C4E"/>
    <w:rsid w:val="00665BFE"/>
    <w:rsid w:val="00666DD4"/>
    <w:rsid w:val="00666EFD"/>
    <w:rsid w:val="00667019"/>
    <w:rsid w:val="00667DF5"/>
    <w:rsid w:val="00670C79"/>
    <w:rsid w:val="00670DA7"/>
    <w:rsid w:val="0067102A"/>
    <w:rsid w:val="00671536"/>
    <w:rsid w:val="0067280E"/>
    <w:rsid w:val="0067373F"/>
    <w:rsid w:val="006737CE"/>
    <w:rsid w:val="00674168"/>
    <w:rsid w:val="00674D58"/>
    <w:rsid w:val="00674E7A"/>
    <w:rsid w:val="0067569B"/>
    <w:rsid w:val="00675773"/>
    <w:rsid w:val="00677B92"/>
    <w:rsid w:val="00680184"/>
    <w:rsid w:val="00680196"/>
    <w:rsid w:val="006801F0"/>
    <w:rsid w:val="006803EA"/>
    <w:rsid w:val="006813E4"/>
    <w:rsid w:val="00683988"/>
    <w:rsid w:val="00683D39"/>
    <w:rsid w:val="00684281"/>
    <w:rsid w:val="00685CA1"/>
    <w:rsid w:val="00687A8C"/>
    <w:rsid w:val="00690825"/>
    <w:rsid w:val="00693450"/>
    <w:rsid w:val="00694E0A"/>
    <w:rsid w:val="00695862"/>
    <w:rsid w:val="00695912"/>
    <w:rsid w:val="00696435"/>
    <w:rsid w:val="006964C3"/>
    <w:rsid w:val="00696F31"/>
    <w:rsid w:val="00697277"/>
    <w:rsid w:val="00697C9C"/>
    <w:rsid w:val="006A1DBA"/>
    <w:rsid w:val="006A53C9"/>
    <w:rsid w:val="006A7DC9"/>
    <w:rsid w:val="006B0230"/>
    <w:rsid w:val="006B075E"/>
    <w:rsid w:val="006B0F3D"/>
    <w:rsid w:val="006B135C"/>
    <w:rsid w:val="006B1B79"/>
    <w:rsid w:val="006B1DEE"/>
    <w:rsid w:val="006B4AE6"/>
    <w:rsid w:val="006B5E36"/>
    <w:rsid w:val="006C1EBB"/>
    <w:rsid w:val="006C3986"/>
    <w:rsid w:val="006C4F78"/>
    <w:rsid w:val="006C63AE"/>
    <w:rsid w:val="006C63C2"/>
    <w:rsid w:val="006C711B"/>
    <w:rsid w:val="006D07D6"/>
    <w:rsid w:val="006D09F8"/>
    <w:rsid w:val="006D0AC7"/>
    <w:rsid w:val="006D2138"/>
    <w:rsid w:val="006D22F6"/>
    <w:rsid w:val="006D37D0"/>
    <w:rsid w:val="006D3F16"/>
    <w:rsid w:val="006D46B5"/>
    <w:rsid w:val="006D4A0A"/>
    <w:rsid w:val="006D4D2E"/>
    <w:rsid w:val="006D522D"/>
    <w:rsid w:val="006D5288"/>
    <w:rsid w:val="006D52AD"/>
    <w:rsid w:val="006D77A6"/>
    <w:rsid w:val="006E1DDD"/>
    <w:rsid w:val="006E48E4"/>
    <w:rsid w:val="006E4FBF"/>
    <w:rsid w:val="006E6287"/>
    <w:rsid w:val="006E70C0"/>
    <w:rsid w:val="006E718D"/>
    <w:rsid w:val="006E792B"/>
    <w:rsid w:val="006E7C08"/>
    <w:rsid w:val="006F05C7"/>
    <w:rsid w:val="006F14C5"/>
    <w:rsid w:val="006F1E7B"/>
    <w:rsid w:val="006F1F12"/>
    <w:rsid w:val="006F28C3"/>
    <w:rsid w:val="006F2A8A"/>
    <w:rsid w:val="006F2CD2"/>
    <w:rsid w:val="006F2F9D"/>
    <w:rsid w:val="006F350D"/>
    <w:rsid w:val="006F4543"/>
    <w:rsid w:val="006F57C0"/>
    <w:rsid w:val="006F66B1"/>
    <w:rsid w:val="006F72EC"/>
    <w:rsid w:val="006F7D98"/>
    <w:rsid w:val="007050B8"/>
    <w:rsid w:val="00705F15"/>
    <w:rsid w:val="00707949"/>
    <w:rsid w:val="00707F34"/>
    <w:rsid w:val="007118D7"/>
    <w:rsid w:val="00712405"/>
    <w:rsid w:val="00713515"/>
    <w:rsid w:val="00713F7E"/>
    <w:rsid w:val="00715B08"/>
    <w:rsid w:val="007169A4"/>
    <w:rsid w:val="00720217"/>
    <w:rsid w:val="00721E13"/>
    <w:rsid w:val="00723488"/>
    <w:rsid w:val="00723783"/>
    <w:rsid w:val="00723AC4"/>
    <w:rsid w:val="00723BA7"/>
    <w:rsid w:val="00723E83"/>
    <w:rsid w:val="00724185"/>
    <w:rsid w:val="00724307"/>
    <w:rsid w:val="0072479B"/>
    <w:rsid w:val="00724EF9"/>
    <w:rsid w:val="0072598F"/>
    <w:rsid w:val="00725A1F"/>
    <w:rsid w:val="00725A79"/>
    <w:rsid w:val="007263F0"/>
    <w:rsid w:val="00726D70"/>
    <w:rsid w:val="00727AF1"/>
    <w:rsid w:val="00727BB5"/>
    <w:rsid w:val="00727F76"/>
    <w:rsid w:val="00730AD6"/>
    <w:rsid w:val="007314E7"/>
    <w:rsid w:val="00735154"/>
    <w:rsid w:val="007359E9"/>
    <w:rsid w:val="00736318"/>
    <w:rsid w:val="007419BA"/>
    <w:rsid w:val="00741AA7"/>
    <w:rsid w:val="00742BEF"/>
    <w:rsid w:val="00742E10"/>
    <w:rsid w:val="0074315A"/>
    <w:rsid w:val="007478F2"/>
    <w:rsid w:val="007512A0"/>
    <w:rsid w:val="007527FA"/>
    <w:rsid w:val="00752B06"/>
    <w:rsid w:val="00757DD1"/>
    <w:rsid w:val="00757DFB"/>
    <w:rsid w:val="00757F29"/>
    <w:rsid w:val="007600AE"/>
    <w:rsid w:val="00760C9F"/>
    <w:rsid w:val="0076289B"/>
    <w:rsid w:val="00763CC1"/>
    <w:rsid w:val="007640CC"/>
    <w:rsid w:val="007642C7"/>
    <w:rsid w:val="00764804"/>
    <w:rsid w:val="00765ED3"/>
    <w:rsid w:val="007678A9"/>
    <w:rsid w:val="00770584"/>
    <w:rsid w:val="00770E01"/>
    <w:rsid w:val="00771F93"/>
    <w:rsid w:val="00774611"/>
    <w:rsid w:val="00774EA3"/>
    <w:rsid w:val="0077582F"/>
    <w:rsid w:val="00775875"/>
    <w:rsid w:val="00775EEA"/>
    <w:rsid w:val="0078267A"/>
    <w:rsid w:val="0078437B"/>
    <w:rsid w:val="00784848"/>
    <w:rsid w:val="00784A78"/>
    <w:rsid w:val="00784C56"/>
    <w:rsid w:val="00785492"/>
    <w:rsid w:val="00785AA2"/>
    <w:rsid w:val="00786699"/>
    <w:rsid w:val="00786D51"/>
    <w:rsid w:val="007872E4"/>
    <w:rsid w:val="00787457"/>
    <w:rsid w:val="00787660"/>
    <w:rsid w:val="00787A65"/>
    <w:rsid w:val="007912A9"/>
    <w:rsid w:val="007928CE"/>
    <w:rsid w:val="00793B14"/>
    <w:rsid w:val="007949E0"/>
    <w:rsid w:val="00794CB0"/>
    <w:rsid w:val="00795327"/>
    <w:rsid w:val="00795ECB"/>
    <w:rsid w:val="00797A35"/>
    <w:rsid w:val="007A04F8"/>
    <w:rsid w:val="007A0628"/>
    <w:rsid w:val="007A092D"/>
    <w:rsid w:val="007A20E4"/>
    <w:rsid w:val="007A28A7"/>
    <w:rsid w:val="007A294C"/>
    <w:rsid w:val="007A355E"/>
    <w:rsid w:val="007A3971"/>
    <w:rsid w:val="007A4087"/>
    <w:rsid w:val="007A506B"/>
    <w:rsid w:val="007A52C8"/>
    <w:rsid w:val="007A5914"/>
    <w:rsid w:val="007A5DF7"/>
    <w:rsid w:val="007A62B4"/>
    <w:rsid w:val="007A63C7"/>
    <w:rsid w:val="007B301C"/>
    <w:rsid w:val="007B35C7"/>
    <w:rsid w:val="007B37F8"/>
    <w:rsid w:val="007B5C1D"/>
    <w:rsid w:val="007B66A7"/>
    <w:rsid w:val="007B6888"/>
    <w:rsid w:val="007C0667"/>
    <w:rsid w:val="007C16BF"/>
    <w:rsid w:val="007C358C"/>
    <w:rsid w:val="007C3CB1"/>
    <w:rsid w:val="007C42CF"/>
    <w:rsid w:val="007C6AC2"/>
    <w:rsid w:val="007C6C67"/>
    <w:rsid w:val="007D1532"/>
    <w:rsid w:val="007D26F6"/>
    <w:rsid w:val="007D383B"/>
    <w:rsid w:val="007D3AFC"/>
    <w:rsid w:val="007D548D"/>
    <w:rsid w:val="007D5605"/>
    <w:rsid w:val="007D59C7"/>
    <w:rsid w:val="007D5B0F"/>
    <w:rsid w:val="007D6BE6"/>
    <w:rsid w:val="007E2B3E"/>
    <w:rsid w:val="007E2F46"/>
    <w:rsid w:val="007E315C"/>
    <w:rsid w:val="007E6D8E"/>
    <w:rsid w:val="007E7000"/>
    <w:rsid w:val="007E7821"/>
    <w:rsid w:val="007F0B58"/>
    <w:rsid w:val="007F14F5"/>
    <w:rsid w:val="007F3F12"/>
    <w:rsid w:val="007F7226"/>
    <w:rsid w:val="007F728E"/>
    <w:rsid w:val="007F7376"/>
    <w:rsid w:val="007F7BEA"/>
    <w:rsid w:val="00800257"/>
    <w:rsid w:val="0080099F"/>
    <w:rsid w:val="0080159B"/>
    <w:rsid w:val="008022F0"/>
    <w:rsid w:val="008041B9"/>
    <w:rsid w:val="008042E9"/>
    <w:rsid w:val="0080435E"/>
    <w:rsid w:val="008050E1"/>
    <w:rsid w:val="00805594"/>
    <w:rsid w:val="00806485"/>
    <w:rsid w:val="00806A0E"/>
    <w:rsid w:val="00810336"/>
    <w:rsid w:val="00811612"/>
    <w:rsid w:val="00811FE1"/>
    <w:rsid w:val="00812F1A"/>
    <w:rsid w:val="008147DC"/>
    <w:rsid w:val="00814804"/>
    <w:rsid w:val="00816500"/>
    <w:rsid w:val="008177D7"/>
    <w:rsid w:val="00820027"/>
    <w:rsid w:val="00820EC8"/>
    <w:rsid w:val="00821135"/>
    <w:rsid w:val="00821A2E"/>
    <w:rsid w:val="00821E21"/>
    <w:rsid w:val="008222DF"/>
    <w:rsid w:val="00822951"/>
    <w:rsid w:val="00823B75"/>
    <w:rsid w:val="00823B92"/>
    <w:rsid w:val="00824B82"/>
    <w:rsid w:val="00824F0E"/>
    <w:rsid w:val="008259E4"/>
    <w:rsid w:val="00826EED"/>
    <w:rsid w:val="008279E9"/>
    <w:rsid w:val="00830CBA"/>
    <w:rsid w:val="00831008"/>
    <w:rsid w:val="008311B3"/>
    <w:rsid w:val="00833990"/>
    <w:rsid w:val="008339F9"/>
    <w:rsid w:val="00833F5C"/>
    <w:rsid w:val="00834D8E"/>
    <w:rsid w:val="00837BAB"/>
    <w:rsid w:val="008420DF"/>
    <w:rsid w:val="00842DDA"/>
    <w:rsid w:val="0084329D"/>
    <w:rsid w:val="00843606"/>
    <w:rsid w:val="008438F3"/>
    <w:rsid w:val="00843AAD"/>
    <w:rsid w:val="00843E24"/>
    <w:rsid w:val="00844159"/>
    <w:rsid w:val="008441CD"/>
    <w:rsid w:val="00844F70"/>
    <w:rsid w:val="0084634B"/>
    <w:rsid w:val="0084657A"/>
    <w:rsid w:val="00847EA6"/>
    <w:rsid w:val="008500E4"/>
    <w:rsid w:val="00850946"/>
    <w:rsid w:val="008532C2"/>
    <w:rsid w:val="00854CDB"/>
    <w:rsid w:val="00854D8D"/>
    <w:rsid w:val="00857F6E"/>
    <w:rsid w:val="00861263"/>
    <w:rsid w:val="00861374"/>
    <w:rsid w:val="008619CE"/>
    <w:rsid w:val="00862B66"/>
    <w:rsid w:val="008705E3"/>
    <w:rsid w:val="00870635"/>
    <w:rsid w:val="00870D79"/>
    <w:rsid w:val="0087248D"/>
    <w:rsid w:val="00873608"/>
    <w:rsid w:val="00873E3D"/>
    <w:rsid w:val="008748CD"/>
    <w:rsid w:val="008750A7"/>
    <w:rsid w:val="008752C0"/>
    <w:rsid w:val="00875A20"/>
    <w:rsid w:val="00875BCB"/>
    <w:rsid w:val="00876521"/>
    <w:rsid w:val="00880D07"/>
    <w:rsid w:val="00881537"/>
    <w:rsid w:val="00882C19"/>
    <w:rsid w:val="00883375"/>
    <w:rsid w:val="008838DB"/>
    <w:rsid w:val="00884F50"/>
    <w:rsid w:val="0088623E"/>
    <w:rsid w:val="00887A75"/>
    <w:rsid w:val="0089074E"/>
    <w:rsid w:val="008909E5"/>
    <w:rsid w:val="00890D08"/>
    <w:rsid w:val="00892324"/>
    <w:rsid w:val="00892A42"/>
    <w:rsid w:val="008931F9"/>
    <w:rsid w:val="00894A0A"/>
    <w:rsid w:val="00894B05"/>
    <w:rsid w:val="008955BC"/>
    <w:rsid w:val="008965DD"/>
    <w:rsid w:val="00896E07"/>
    <w:rsid w:val="008975E9"/>
    <w:rsid w:val="00897F12"/>
    <w:rsid w:val="008A1CD6"/>
    <w:rsid w:val="008A2683"/>
    <w:rsid w:val="008A2707"/>
    <w:rsid w:val="008A2CCD"/>
    <w:rsid w:val="008A2CEF"/>
    <w:rsid w:val="008A3EC9"/>
    <w:rsid w:val="008A446E"/>
    <w:rsid w:val="008A44AD"/>
    <w:rsid w:val="008A45B5"/>
    <w:rsid w:val="008A4B30"/>
    <w:rsid w:val="008A5644"/>
    <w:rsid w:val="008A5F07"/>
    <w:rsid w:val="008A6377"/>
    <w:rsid w:val="008A7A7D"/>
    <w:rsid w:val="008B186A"/>
    <w:rsid w:val="008B28FE"/>
    <w:rsid w:val="008B2AA3"/>
    <w:rsid w:val="008B33C1"/>
    <w:rsid w:val="008B4DEA"/>
    <w:rsid w:val="008B4F8B"/>
    <w:rsid w:val="008B53D0"/>
    <w:rsid w:val="008B593E"/>
    <w:rsid w:val="008B707D"/>
    <w:rsid w:val="008B7974"/>
    <w:rsid w:val="008B7A75"/>
    <w:rsid w:val="008C1811"/>
    <w:rsid w:val="008C2535"/>
    <w:rsid w:val="008C2751"/>
    <w:rsid w:val="008C2E9F"/>
    <w:rsid w:val="008C35AE"/>
    <w:rsid w:val="008C471E"/>
    <w:rsid w:val="008C6322"/>
    <w:rsid w:val="008C7047"/>
    <w:rsid w:val="008D050C"/>
    <w:rsid w:val="008D0751"/>
    <w:rsid w:val="008D18A2"/>
    <w:rsid w:val="008D3085"/>
    <w:rsid w:val="008D3488"/>
    <w:rsid w:val="008D498E"/>
    <w:rsid w:val="008D4B12"/>
    <w:rsid w:val="008D4C20"/>
    <w:rsid w:val="008D6580"/>
    <w:rsid w:val="008E14AF"/>
    <w:rsid w:val="008E1534"/>
    <w:rsid w:val="008E254E"/>
    <w:rsid w:val="008E3D03"/>
    <w:rsid w:val="008E43D1"/>
    <w:rsid w:val="008E48D1"/>
    <w:rsid w:val="008E534F"/>
    <w:rsid w:val="008E56F8"/>
    <w:rsid w:val="008E5C34"/>
    <w:rsid w:val="008E5DAF"/>
    <w:rsid w:val="008E61EE"/>
    <w:rsid w:val="008E64CB"/>
    <w:rsid w:val="008F06E5"/>
    <w:rsid w:val="008F241A"/>
    <w:rsid w:val="008F29CC"/>
    <w:rsid w:val="008F2D62"/>
    <w:rsid w:val="008F318C"/>
    <w:rsid w:val="008F32CD"/>
    <w:rsid w:val="008F3303"/>
    <w:rsid w:val="008F35A0"/>
    <w:rsid w:val="008F41E3"/>
    <w:rsid w:val="008F4914"/>
    <w:rsid w:val="008F6907"/>
    <w:rsid w:val="008F7D4B"/>
    <w:rsid w:val="009009A6"/>
    <w:rsid w:val="00901A7B"/>
    <w:rsid w:val="0090277D"/>
    <w:rsid w:val="00902890"/>
    <w:rsid w:val="00903653"/>
    <w:rsid w:val="0090418B"/>
    <w:rsid w:val="0090532A"/>
    <w:rsid w:val="00905E05"/>
    <w:rsid w:val="009062A4"/>
    <w:rsid w:val="009064F7"/>
    <w:rsid w:val="009077BE"/>
    <w:rsid w:val="009079AE"/>
    <w:rsid w:val="00907A27"/>
    <w:rsid w:val="00907A95"/>
    <w:rsid w:val="00907AEA"/>
    <w:rsid w:val="00910134"/>
    <w:rsid w:val="00910F69"/>
    <w:rsid w:val="00911BC0"/>
    <w:rsid w:val="00912BF3"/>
    <w:rsid w:val="0091321F"/>
    <w:rsid w:val="0091403A"/>
    <w:rsid w:val="00915DA8"/>
    <w:rsid w:val="00916869"/>
    <w:rsid w:val="00916B41"/>
    <w:rsid w:val="009176B0"/>
    <w:rsid w:val="0092117E"/>
    <w:rsid w:val="00921879"/>
    <w:rsid w:val="00922398"/>
    <w:rsid w:val="00923B3E"/>
    <w:rsid w:val="009240BF"/>
    <w:rsid w:val="0092473B"/>
    <w:rsid w:val="0092665F"/>
    <w:rsid w:val="00926ABC"/>
    <w:rsid w:val="00926AC5"/>
    <w:rsid w:val="009274A5"/>
    <w:rsid w:val="009276B0"/>
    <w:rsid w:val="00930AF0"/>
    <w:rsid w:val="00931AF0"/>
    <w:rsid w:val="009359F1"/>
    <w:rsid w:val="00935A15"/>
    <w:rsid w:val="00935C77"/>
    <w:rsid w:val="00935D53"/>
    <w:rsid w:val="00936435"/>
    <w:rsid w:val="00936CC4"/>
    <w:rsid w:val="0093769B"/>
    <w:rsid w:val="00937743"/>
    <w:rsid w:val="009377E2"/>
    <w:rsid w:val="009378AB"/>
    <w:rsid w:val="009404CF"/>
    <w:rsid w:val="00944ABA"/>
    <w:rsid w:val="00944CF2"/>
    <w:rsid w:val="00945F51"/>
    <w:rsid w:val="00947EA6"/>
    <w:rsid w:val="00953180"/>
    <w:rsid w:val="00954311"/>
    <w:rsid w:val="0095587D"/>
    <w:rsid w:val="00956192"/>
    <w:rsid w:val="009561EC"/>
    <w:rsid w:val="00956ED5"/>
    <w:rsid w:val="00957308"/>
    <w:rsid w:val="009604F3"/>
    <w:rsid w:val="00962EAA"/>
    <w:rsid w:val="00963FE9"/>
    <w:rsid w:val="00965DE3"/>
    <w:rsid w:val="00965F7F"/>
    <w:rsid w:val="0096680B"/>
    <w:rsid w:val="0096681C"/>
    <w:rsid w:val="0096697E"/>
    <w:rsid w:val="00966D02"/>
    <w:rsid w:val="009678EA"/>
    <w:rsid w:val="00970361"/>
    <w:rsid w:val="0097156D"/>
    <w:rsid w:val="009718F6"/>
    <w:rsid w:val="00972192"/>
    <w:rsid w:val="00973701"/>
    <w:rsid w:val="00973B5C"/>
    <w:rsid w:val="00973DEE"/>
    <w:rsid w:val="00975D7D"/>
    <w:rsid w:val="00976515"/>
    <w:rsid w:val="00980148"/>
    <w:rsid w:val="00980800"/>
    <w:rsid w:val="009817E8"/>
    <w:rsid w:val="00981C86"/>
    <w:rsid w:val="00982B95"/>
    <w:rsid w:val="009833F1"/>
    <w:rsid w:val="00983417"/>
    <w:rsid w:val="00983CAC"/>
    <w:rsid w:val="00985495"/>
    <w:rsid w:val="00985AB5"/>
    <w:rsid w:val="009878A3"/>
    <w:rsid w:val="00987A22"/>
    <w:rsid w:val="00990092"/>
    <w:rsid w:val="00990429"/>
    <w:rsid w:val="0099350E"/>
    <w:rsid w:val="009958DC"/>
    <w:rsid w:val="00996E8E"/>
    <w:rsid w:val="009A06A1"/>
    <w:rsid w:val="009A41E8"/>
    <w:rsid w:val="009A512F"/>
    <w:rsid w:val="009A665B"/>
    <w:rsid w:val="009A6CC6"/>
    <w:rsid w:val="009A76F9"/>
    <w:rsid w:val="009B108C"/>
    <w:rsid w:val="009B23EA"/>
    <w:rsid w:val="009B3290"/>
    <w:rsid w:val="009B381E"/>
    <w:rsid w:val="009B5E65"/>
    <w:rsid w:val="009B71DC"/>
    <w:rsid w:val="009C238D"/>
    <w:rsid w:val="009C25D9"/>
    <w:rsid w:val="009C2752"/>
    <w:rsid w:val="009C2B24"/>
    <w:rsid w:val="009C2D1E"/>
    <w:rsid w:val="009C3162"/>
    <w:rsid w:val="009C37D5"/>
    <w:rsid w:val="009C44A4"/>
    <w:rsid w:val="009C5EAE"/>
    <w:rsid w:val="009C6624"/>
    <w:rsid w:val="009C7327"/>
    <w:rsid w:val="009C7C05"/>
    <w:rsid w:val="009D01AB"/>
    <w:rsid w:val="009D0548"/>
    <w:rsid w:val="009D0E2C"/>
    <w:rsid w:val="009D1BA6"/>
    <w:rsid w:val="009D3CE2"/>
    <w:rsid w:val="009D489B"/>
    <w:rsid w:val="009D4DAF"/>
    <w:rsid w:val="009D4F3B"/>
    <w:rsid w:val="009D5452"/>
    <w:rsid w:val="009D5A94"/>
    <w:rsid w:val="009D5F98"/>
    <w:rsid w:val="009D6969"/>
    <w:rsid w:val="009E05B3"/>
    <w:rsid w:val="009E07A0"/>
    <w:rsid w:val="009E1366"/>
    <w:rsid w:val="009E29C9"/>
    <w:rsid w:val="009E2EC4"/>
    <w:rsid w:val="009E3F03"/>
    <w:rsid w:val="009E3F6A"/>
    <w:rsid w:val="009E4949"/>
    <w:rsid w:val="009E5884"/>
    <w:rsid w:val="009E58ED"/>
    <w:rsid w:val="009E5BD8"/>
    <w:rsid w:val="009E6374"/>
    <w:rsid w:val="009E63F1"/>
    <w:rsid w:val="009E6591"/>
    <w:rsid w:val="009F03E0"/>
    <w:rsid w:val="009F06B0"/>
    <w:rsid w:val="009F22AF"/>
    <w:rsid w:val="009F2D39"/>
    <w:rsid w:val="009F2D68"/>
    <w:rsid w:val="009F327C"/>
    <w:rsid w:val="009F366F"/>
    <w:rsid w:val="009F373A"/>
    <w:rsid w:val="009F4CAE"/>
    <w:rsid w:val="009F531D"/>
    <w:rsid w:val="009F54C3"/>
    <w:rsid w:val="009F799C"/>
    <w:rsid w:val="00A00346"/>
    <w:rsid w:val="00A03741"/>
    <w:rsid w:val="00A0637C"/>
    <w:rsid w:val="00A07A20"/>
    <w:rsid w:val="00A10C85"/>
    <w:rsid w:val="00A112E7"/>
    <w:rsid w:val="00A131FF"/>
    <w:rsid w:val="00A17529"/>
    <w:rsid w:val="00A17682"/>
    <w:rsid w:val="00A20532"/>
    <w:rsid w:val="00A20814"/>
    <w:rsid w:val="00A20D72"/>
    <w:rsid w:val="00A225D0"/>
    <w:rsid w:val="00A24686"/>
    <w:rsid w:val="00A25593"/>
    <w:rsid w:val="00A27068"/>
    <w:rsid w:val="00A2708A"/>
    <w:rsid w:val="00A27E13"/>
    <w:rsid w:val="00A32C52"/>
    <w:rsid w:val="00A33926"/>
    <w:rsid w:val="00A33B3F"/>
    <w:rsid w:val="00A34796"/>
    <w:rsid w:val="00A35590"/>
    <w:rsid w:val="00A401BA"/>
    <w:rsid w:val="00A40D8A"/>
    <w:rsid w:val="00A41AB4"/>
    <w:rsid w:val="00A41F7E"/>
    <w:rsid w:val="00A428BE"/>
    <w:rsid w:val="00A4290C"/>
    <w:rsid w:val="00A42D45"/>
    <w:rsid w:val="00A42E84"/>
    <w:rsid w:val="00A44D23"/>
    <w:rsid w:val="00A45818"/>
    <w:rsid w:val="00A45C6D"/>
    <w:rsid w:val="00A503B1"/>
    <w:rsid w:val="00A52229"/>
    <w:rsid w:val="00A5494C"/>
    <w:rsid w:val="00A54F6C"/>
    <w:rsid w:val="00A563D1"/>
    <w:rsid w:val="00A56581"/>
    <w:rsid w:val="00A56AF1"/>
    <w:rsid w:val="00A60372"/>
    <w:rsid w:val="00A6067F"/>
    <w:rsid w:val="00A60FAE"/>
    <w:rsid w:val="00A61B9E"/>
    <w:rsid w:val="00A63839"/>
    <w:rsid w:val="00A64012"/>
    <w:rsid w:val="00A6445C"/>
    <w:rsid w:val="00A65078"/>
    <w:rsid w:val="00A66115"/>
    <w:rsid w:val="00A6751F"/>
    <w:rsid w:val="00A70147"/>
    <w:rsid w:val="00A72DC5"/>
    <w:rsid w:val="00A73ACA"/>
    <w:rsid w:val="00A749BF"/>
    <w:rsid w:val="00A74CC6"/>
    <w:rsid w:val="00A75702"/>
    <w:rsid w:val="00A75729"/>
    <w:rsid w:val="00A7580D"/>
    <w:rsid w:val="00A7636D"/>
    <w:rsid w:val="00A76B01"/>
    <w:rsid w:val="00A76DC3"/>
    <w:rsid w:val="00A77929"/>
    <w:rsid w:val="00A80E81"/>
    <w:rsid w:val="00A822B2"/>
    <w:rsid w:val="00A82648"/>
    <w:rsid w:val="00A82B71"/>
    <w:rsid w:val="00A83729"/>
    <w:rsid w:val="00A839C4"/>
    <w:rsid w:val="00A85D7B"/>
    <w:rsid w:val="00A85DC7"/>
    <w:rsid w:val="00A87739"/>
    <w:rsid w:val="00A90503"/>
    <w:rsid w:val="00A93216"/>
    <w:rsid w:val="00A93F34"/>
    <w:rsid w:val="00A94B13"/>
    <w:rsid w:val="00A94D92"/>
    <w:rsid w:val="00A96794"/>
    <w:rsid w:val="00A96C0B"/>
    <w:rsid w:val="00A96D1B"/>
    <w:rsid w:val="00A97519"/>
    <w:rsid w:val="00A975CE"/>
    <w:rsid w:val="00A979ED"/>
    <w:rsid w:val="00AA0248"/>
    <w:rsid w:val="00AA0BC7"/>
    <w:rsid w:val="00AA203D"/>
    <w:rsid w:val="00AA279E"/>
    <w:rsid w:val="00AA2D93"/>
    <w:rsid w:val="00AA537E"/>
    <w:rsid w:val="00AA59A0"/>
    <w:rsid w:val="00AA6FD4"/>
    <w:rsid w:val="00AB0812"/>
    <w:rsid w:val="00AB2920"/>
    <w:rsid w:val="00AB385C"/>
    <w:rsid w:val="00AB5512"/>
    <w:rsid w:val="00AC0A94"/>
    <w:rsid w:val="00AC0B75"/>
    <w:rsid w:val="00AC1A4B"/>
    <w:rsid w:val="00AC3642"/>
    <w:rsid w:val="00AC4168"/>
    <w:rsid w:val="00AC54C0"/>
    <w:rsid w:val="00AD0126"/>
    <w:rsid w:val="00AD01C2"/>
    <w:rsid w:val="00AD03AD"/>
    <w:rsid w:val="00AD0FCB"/>
    <w:rsid w:val="00AD159C"/>
    <w:rsid w:val="00AD320D"/>
    <w:rsid w:val="00AD4DD2"/>
    <w:rsid w:val="00AE1333"/>
    <w:rsid w:val="00AE1D6E"/>
    <w:rsid w:val="00AE1E33"/>
    <w:rsid w:val="00AE2026"/>
    <w:rsid w:val="00AE2C41"/>
    <w:rsid w:val="00AE3468"/>
    <w:rsid w:val="00AE6FA7"/>
    <w:rsid w:val="00AE7035"/>
    <w:rsid w:val="00AE7757"/>
    <w:rsid w:val="00AF060E"/>
    <w:rsid w:val="00AF1D6F"/>
    <w:rsid w:val="00AF2D42"/>
    <w:rsid w:val="00AF34ED"/>
    <w:rsid w:val="00AF569A"/>
    <w:rsid w:val="00AF572D"/>
    <w:rsid w:val="00AF58C5"/>
    <w:rsid w:val="00AF5EEF"/>
    <w:rsid w:val="00AF79CB"/>
    <w:rsid w:val="00AF7F1E"/>
    <w:rsid w:val="00B012CD"/>
    <w:rsid w:val="00B01639"/>
    <w:rsid w:val="00B03B71"/>
    <w:rsid w:val="00B07D81"/>
    <w:rsid w:val="00B14129"/>
    <w:rsid w:val="00B15C71"/>
    <w:rsid w:val="00B166B5"/>
    <w:rsid w:val="00B16957"/>
    <w:rsid w:val="00B174D2"/>
    <w:rsid w:val="00B17777"/>
    <w:rsid w:val="00B2097F"/>
    <w:rsid w:val="00B20D28"/>
    <w:rsid w:val="00B21398"/>
    <w:rsid w:val="00B216CF"/>
    <w:rsid w:val="00B21946"/>
    <w:rsid w:val="00B22202"/>
    <w:rsid w:val="00B244DF"/>
    <w:rsid w:val="00B246B4"/>
    <w:rsid w:val="00B2491A"/>
    <w:rsid w:val="00B2593A"/>
    <w:rsid w:val="00B262C8"/>
    <w:rsid w:val="00B267FF"/>
    <w:rsid w:val="00B26DB6"/>
    <w:rsid w:val="00B3015E"/>
    <w:rsid w:val="00B30D09"/>
    <w:rsid w:val="00B31502"/>
    <w:rsid w:val="00B34382"/>
    <w:rsid w:val="00B343D6"/>
    <w:rsid w:val="00B34C3D"/>
    <w:rsid w:val="00B34C51"/>
    <w:rsid w:val="00B3525C"/>
    <w:rsid w:val="00B36020"/>
    <w:rsid w:val="00B3735E"/>
    <w:rsid w:val="00B41404"/>
    <w:rsid w:val="00B41EA1"/>
    <w:rsid w:val="00B42A83"/>
    <w:rsid w:val="00B452A3"/>
    <w:rsid w:val="00B4537B"/>
    <w:rsid w:val="00B505F9"/>
    <w:rsid w:val="00B50E2D"/>
    <w:rsid w:val="00B510BF"/>
    <w:rsid w:val="00B523ED"/>
    <w:rsid w:val="00B5244A"/>
    <w:rsid w:val="00B52483"/>
    <w:rsid w:val="00B531AB"/>
    <w:rsid w:val="00B53C34"/>
    <w:rsid w:val="00B60C08"/>
    <w:rsid w:val="00B60DE4"/>
    <w:rsid w:val="00B62249"/>
    <w:rsid w:val="00B623C5"/>
    <w:rsid w:val="00B64DA4"/>
    <w:rsid w:val="00B650D9"/>
    <w:rsid w:val="00B651E4"/>
    <w:rsid w:val="00B65791"/>
    <w:rsid w:val="00B667A5"/>
    <w:rsid w:val="00B66A36"/>
    <w:rsid w:val="00B670F0"/>
    <w:rsid w:val="00B67E10"/>
    <w:rsid w:val="00B71AE1"/>
    <w:rsid w:val="00B72438"/>
    <w:rsid w:val="00B72BAB"/>
    <w:rsid w:val="00B74559"/>
    <w:rsid w:val="00B76557"/>
    <w:rsid w:val="00B83CFA"/>
    <w:rsid w:val="00B84534"/>
    <w:rsid w:val="00B84B9D"/>
    <w:rsid w:val="00B85489"/>
    <w:rsid w:val="00B87179"/>
    <w:rsid w:val="00B9048A"/>
    <w:rsid w:val="00B906E1"/>
    <w:rsid w:val="00B931C8"/>
    <w:rsid w:val="00B93B50"/>
    <w:rsid w:val="00B951FF"/>
    <w:rsid w:val="00BA000A"/>
    <w:rsid w:val="00BA0F40"/>
    <w:rsid w:val="00BA118B"/>
    <w:rsid w:val="00BA328B"/>
    <w:rsid w:val="00BA389E"/>
    <w:rsid w:val="00BA3D5F"/>
    <w:rsid w:val="00BA47F0"/>
    <w:rsid w:val="00BA4E0F"/>
    <w:rsid w:val="00BA7316"/>
    <w:rsid w:val="00BB0782"/>
    <w:rsid w:val="00BB0DE5"/>
    <w:rsid w:val="00BB1C7E"/>
    <w:rsid w:val="00BB2176"/>
    <w:rsid w:val="00BB2E04"/>
    <w:rsid w:val="00BB3000"/>
    <w:rsid w:val="00BB33A6"/>
    <w:rsid w:val="00BB34E3"/>
    <w:rsid w:val="00BB5721"/>
    <w:rsid w:val="00BB60A2"/>
    <w:rsid w:val="00BB69DB"/>
    <w:rsid w:val="00BB6CEC"/>
    <w:rsid w:val="00BB6F82"/>
    <w:rsid w:val="00BC2BA2"/>
    <w:rsid w:val="00BC2ED4"/>
    <w:rsid w:val="00BC36B3"/>
    <w:rsid w:val="00BC6BCA"/>
    <w:rsid w:val="00BC739A"/>
    <w:rsid w:val="00BD0693"/>
    <w:rsid w:val="00BD08E5"/>
    <w:rsid w:val="00BD0CA8"/>
    <w:rsid w:val="00BD0CCE"/>
    <w:rsid w:val="00BD0F2D"/>
    <w:rsid w:val="00BD1014"/>
    <w:rsid w:val="00BD396E"/>
    <w:rsid w:val="00BD4914"/>
    <w:rsid w:val="00BD55B7"/>
    <w:rsid w:val="00BD659A"/>
    <w:rsid w:val="00BD7AF5"/>
    <w:rsid w:val="00BD7F12"/>
    <w:rsid w:val="00BE0572"/>
    <w:rsid w:val="00BE0F0E"/>
    <w:rsid w:val="00BE1D4F"/>
    <w:rsid w:val="00BE20C3"/>
    <w:rsid w:val="00BE2331"/>
    <w:rsid w:val="00BE433B"/>
    <w:rsid w:val="00BE470D"/>
    <w:rsid w:val="00BE4A53"/>
    <w:rsid w:val="00BE5502"/>
    <w:rsid w:val="00BE5901"/>
    <w:rsid w:val="00BE7875"/>
    <w:rsid w:val="00BF0642"/>
    <w:rsid w:val="00BF1223"/>
    <w:rsid w:val="00BF1783"/>
    <w:rsid w:val="00BF21B1"/>
    <w:rsid w:val="00BF29AC"/>
    <w:rsid w:val="00BF4912"/>
    <w:rsid w:val="00BF4B8F"/>
    <w:rsid w:val="00BF69F4"/>
    <w:rsid w:val="00BF6BBB"/>
    <w:rsid w:val="00BF7362"/>
    <w:rsid w:val="00C000FD"/>
    <w:rsid w:val="00C005BC"/>
    <w:rsid w:val="00C01DF1"/>
    <w:rsid w:val="00C02BA8"/>
    <w:rsid w:val="00C04D83"/>
    <w:rsid w:val="00C10645"/>
    <w:rsid w:val="00C10686"/>
    <w:rsid w:val="00C1070D"/>
    <w:rsid w:val="00C10B3B"/>
    <w:rsid w:val="00C11ECE"/>
    <w:rsid w:val="00C129DE"/>
    <w:rsid w:val="00C14BCD"/>
    <w:rsid w:val="00C150BB"/>
    <w:rsid w:val="00C16055"/>
    <w:rsid w:val="00C16B79"/>
    <w:rsid w:val="00C2099E"/>
    <w:rsid w:val="00C224C0"/>
    <w:rsid w:val="00C22816"/>
    <w:rsid w:val="00C23CF0"/>
    <w:rsid w:val="00C249F4"/>
    <w:rsid w:val="00C24E48"/>
    <w:rsid w:val="00C24F21"/>
    <w:rsid w:val="00C31272"/>
    <w:rsid w:val="00C31BB5"/>
    <w:rsid w:val="00C34562"/>
    <w:rsid w:val="00C34C2A"/>
    <w:rsid w:val="00C369F9"/>
    <w:rsid w:val="00C45EC6"/>
    <w:rsid w:val="00C46D56"/>
    <w:rsid w:val="00C47AA5"/>
    <w:rsid w:val="00C51826"/>
    <w:rsid w:val="00C5195C"/>
    <w:rsid w:val="00C52385"/>
    <w:rsid w:val="00C525CD"/>
    <w:rsid w:val="00C52A04"/>
    <w:rsid w:val="00C52C3A"/>
    <w:rsid w:val="00C52F58"/>
    <w:rsid w:val="00C53725"/>
    <w:rsid w:val="00C53D12"/>
    <w:rsid w:val="00C5468F"/>
    <w:rsid w:val="00C551BE"/>
    <w:rsid w:val="00C55F9D"/>
    <w:rsid w:val="00C579D5"/>
    <w:rsid w:val="00C57FF1"/>
    <w:rsid w:val="00C60145"/>
    <w:rsid w:val="00C60414"/>
    <w:rsid w:val="00C60836"/>
    <w:rsid w:val="00C60B49"/>
    <w:rsid w:val="00C61564"/>
    <w:rsid w:val="00C6168E"/>
    <w:rsid w:val="00C61ABD"/>
    <w:rsid w:val="00C62223"/>
    <w:rsid w:val="00C63544"/>
    <w:rsid w:val="00C651F8"/>
    <w:rsid w:val="00C65B92"/>
    <w:rsid w:val="00C7148E"/>
    <w:rsid w:val="00C715BD"/>
    <w:rsid w:val="00C71C85"/>
    <w:rsid w:val="00C7228F"/>
    <w:rsid w:val="00C76128"/>
    <w:rsid w:val="00C777C6"/>
    <w:rsid w:val="00C81B1F"/>
    <w:rsid w:val="00C82776"/>
    <w:rsid w:val="00C828B4"/>
    <w:rsid w:val="00C8303E"/>
    <w:rsid w:val="00C83C7F"/>
    <w:rsid w:val="00C84EC9"/>
    <w:rsid w:val="00C8538A"/>
    <w:rsid w:val="00C85731"/>
    <w:rsid w:val="00C8685C"/>
    <w:rsid w:val="00C86A4C"/>
    <w:rsid w:val="00C87826"/>
    <w:rsid w:val="00C900B9"/>
    <w:rsid w:val="00C902E6"/>
    <w:rsid w:val="00C9066A"/>
    <w:rsid w:val="00C90AE0"/>
    <w:rsid w:val="00C916A2"/>
    <w:rsid w:val="00C924A7"/>
    <w:rsid w:val="00C926AE"/>
    <w:rsid w:val="00C936BA"/>
    <w:rsid w:val="00C937D4"/>
    <w:rsid w:val="00C9400D"/>
    <w:rsid w:val="00C9595A"/>
    <w:rsid w:val="00C977E5"/>
    <w:rsid w:val="00CA0FE5"/>
    <w:rsid w:val="00CA1B3B"/>
    <w:rsid w:val="00CA2209"/>
    <w:rsid w:val="00CA560E"/>
    <w:rsid w:val="00CA5CC9"/>
    <w:rsid w:val="00CA723F"/>
    <w:rsid w:val="00CB09CE"/>
    <w:rsid w:val="00CB1B1A"/>
    <w:rsid w:val="00CB2A6E"/>
    <w:rsid w:val="00CB3321"/>
    <w:rsid w:val="00CB6C17"/>
    <w:rsid w:val="00CB7304"/>
    <w:rsid w:val="00CB7478"/>
    <w:rsid w:val="00CB78C4"/>
    <w:rsid w:val="00CC0897"/>
    <w:rsid w:val="00CC1CB4"/>
    <w:rsid w:val="00CC3478"/>
    <w:rsid w:val="00CC5838"/>
    <w:rsid w:val="00CC6F6C"/>
    <w:rsid w:val="00CC74C7"/>
    <w:rsid w:val="00CC7D0A"/>
    <w:rsid w:val="00CC7F6E"/>
    <w:rsid w:val="00CD02AB"/>
    <w:rsid w:val="00CD13F8"/>
    <w:rsid w:val="00CD28D5"/>
    <w:rsid w:val="00CD2EA0"/>
    <w:rsid w:val="00CD330F"/>
    <w:rsid w:val="00CD4123"/>
    <w:rsid w:val="00CD6788"/>
    <w:rsid w:val="00CD681E"/>
    <w:rsid w:val="00CE0CA6"/>
    <w:rsid w:val="00CE11F6"/>
    <w:rsid w:val="00CE13C9"/>
    <w:rsid w:val="00CE2716"/>
    <w:rsid w:val="00CE2DFA"/>
    <w:rsid w:val="00CE2F2A"/>
    <w:rsid w:val="00CE30DD"/>
    <w:rsid w:val="00CE43CE"/>
    <w:rsid w:val="00CE461E"/>
    <w:rsid w:val="00CE699E"/>
    <w:rsid w:val="00CE7B3A"/>
    <w:rsid w:val="00CF00D7"/>
    <w:rsid w:val="00CF01F6"/>
    <w:rsid w:val="00CF2960"/>
    <w:rsid w:val="00CF2C6A"/>
    <w:rsid w:val="00CF3C98"/>
    <w:rsid w:val="00CF3D93"/>
    <w:rsid w:val="00CF5CDF"/>
    <w:rsid w:val="00CF6DC4"/>
    <w:rsid w:val="00CF76B3"/>
    <w:rsid w:val="00CF77BF"/>
    <w:rsid w:val="00CF7D07"/>
    <w:rsid w:val="00D00BE7"/>
    <w:rsid w:val="00D00D45"/>
    <w:rsid w:val="00D00E94"/>
    <w:rsid w:val="00D02ED9"/>
    <w:rsid w:val="00D03109"/>
    <w:rsid w:val="00D03A53"/>
    <w:rsid w:val="00D04219"/>
    <w:rsid w:val="00D042B9"/>
    <w:rsid w:val="00D05DDE"/>
    <w:rsid w:val="00D06F50"/>
    <w:rsid w:val="00D075C8"/>
    <w:rsid w:val="00D100AF"/>
    <w:rsid w:val="00D100F6"/>
    <w:rsid w:val="00D11A4B"/>
    <w:rsid w:val="00D11A5E"/>
    <w:rsid w:val="00D12965"/>
    <w:rsid w:val="00D13C5A"/>
    <w:rsid w:val="00D14823"/>
    <w:rsid w:val="00D17BFC"/>
    <w:rsid w:val="00D20302"/>
    <w:rsid w:val="00D21F05"/>
    <w:rsid w:val="00D242B5"/>
    <w:rsid w:val="00D24521"/>
    <w:rsid w:val="00D250E4"/>
    <w:rsid w:val="00D270E9"/>
    <w:rsid w:val="00D27C6F"/>
    <w:rsid w:val="00D30B66"/>
    <w:rsid w:val="00D31842"/>
    <w:rsid w:val="00D31C14"/>
    <w:rsid w:val="00D31DD3"/>
    <w:rsid w:val="00D32491"/>
    <w:rsid w:val="00D35098"/>
    <w:rsid w:val="00D36F00"/>
    <w:rsid w:val="00D404E2"/>
    <w:rsid w:val="00D40A25"/>
    <w:rsid w:val="00D42F42"/>
    <w:rsid w:val="00D43767"/>
    <w:rsid w:val="00D4461C"/>
    <w:rsid w:val="00D478F6"/>
    <w:rsid w:val="00D501A1"/>
    <w:rsid w:val="00D51166"/>
    <w:rsid w:val="00D511F3"/>
    <w:rsid w:val="00D52251"/>
    <w:rsid w:val="00D52CC9"/>
    <w:rsid w:val="00D5318C"/>
    <w:rsid w:val="00D561F0"/>
    <w:rsid w:val="00D60512"/>
    <w:rsid w:val="00D60B36"/>
    <w:rsid w:val="00D60FBC"/>
    <w:rsid w:val="00D61D54"/>
    <w:rsid w:val="00D6268D"/>
    <w:rsid w:val="00D62E93"/>
    <w:rsid w:val="00D63754"/>
    <w:rsid w:val="00D63CCB"/>
    <w:rsid w:val="00D65446"/>
    <w:rsid w:val="00D65E59"/>
    <w:rsid w:val="00D67480"/>
    <w:rsid w:val="00D7048B"/>
    <w:rsid w:val="00D7055A"/>
    <w:rsid w:val="00D70A75"/>
    <w:rsid w:val="00D716F2"/>
    <w:rsid w:val="00D72A31"/>
    <w:rsid w:val="00D73D1F"/>
    <w:rsid w:val="00D7465B"/>
    <w:rsid w:val="00D76698"/>
    <w:rsid w:val="00D8203D"/>
    <w:rsid w:val="00D85741"/>
    <w:rsid w:val="00D8769F"/>
    <w:rsid w:val="00D903E2"/>
    <w:rsid w:val="00D9055C"/>
    <w:rsid w:val="00D90A45"/>
    <w:rsid w:val="00D90C50"/>
    <w:rsid w:val="00D92F9F"/>
    <w:rsid w:val="00D93260"/>
    <w:rsid w:val="00D934F0"/>
    <w:rsid w:val="00D94754"/>
    <w:rsid w:val="00D94C5D"/>
    <w:rsid w:val="00D94C79"/>
    <w:rsid w:val="00D95E2C"/>
    <w:rsid w:val="00D97666"/>
    <w:rsid w:val="00D977EB"/>
    <w:rsid w:val="00DA0DFD"/>
    <w:rsid w:val="00DA3448"/>
    <w:rsid w:val="00DA3DF4"/>
    <w:rsid w:val="00DA459C"/>
    <w:rsid w:val="00DA48DA"/>
    <w:rsid w:val="00DA6976"/>
    <w:rsid w:val="00DA7ECA"/>
    <w:rsid w:val="00DB0169"/>
    <w:rsid w:val="00DB02E7"/>
    <w:rsid w:val="00DB0AC3"/>
    <w:rsid w:val="00DB145B"/>
    <w:rsid w:val="00DB19B9"/>
    <w:rsid w:val="00DB19FF"/>
    <w:rsid w:val="00DB1F3F"/>
    <w:rsid w:val="00DB2168"/>
    <w:rsid w:val="00DB2200"/>
    <w:rsid w:val="00DB2317"/>
    <w:rsid w:val="00DB29CB"/>
    <w:rsid w:val="00DB31BA"/>
    <w:rsid w:val="00DB41EA"/>
    <w:rsid w:val="00DB456B"/>
    <w:rsid w:val="00DB6397"/>
    <w:rsid w:val="00DB67FA"/>
    <w:rsid w:val="00DB6D2A"/>
    <w:rsid w:val="00DB6E4E"/>
    <w:rsid w:val="00DB715E"/>
    <w:rsid w:val="00DB71DB"/>
    <w:rsid w:val="00DC2152"/>
    <w:rsid w:val="00DC2FD9"/>
    <w:rsid w:val="00DC6060"/>
    <w:rsid w:val="00DC611C"/>
    <w:rsid w:val="00DC663A"/>
    <w:rsid w:val="00DC7E22"/>
    <w:rsid w:val="00DD0632"/>
    <w:rsid w:val="00DD2A09"/>
    <w:rsid w:val="00DD2AC1"/>
    <w:rsid w:val="00DD31EE"/>
    <w:rsid w:val="00DD3713"/>
    <w:rsid w:val="00DD3B2B"/>
    <w:rsid w:val="00DD3CB9"/>
    <w:rsid w:val="00DD4BFF"/>
    <w:rsid w:val="00DD50C3"/>
    <w:rsid w:val="00DD55D5"/>
    <w:rsid w:val="00DD590B"/>
    <w:rsid w:val="00DD5C87"/>
    <w:rsid w:val="00DD614A"/>
    <w:rsid w:val="00DD6D36"/>
    <w:rsid w:val="00DE05E6"/>
    <w:rsid w:val="00DE12BA"/>
    <w:rsid w:val="00DE3D80"/>
    <w:rsid w:val="00DE4832"/>
    <w:rsid w:val="00DE48B9"/>
    <w:rsid w:val="00DE5AF9"/>
    <w:rsid w:val="00DE7345"/>
    <w:rsid w:val="00DE781D"/>
    <w:rsid w:val="00DF043F"/>
    <w:rsid w:val="00DF253B"/>
    <w:rsid w:val="00DF278B"/>
    <w:rsid w:val="00DF27CB"/>
    <w:rsid w:val="00DF3D29"/>
    <w:rsid w:val="00DF4067"/>
    <w:rsid w:val="00DF5699"/>
    <w:rsid w:val="00DF6EFD"/>
    <w:rsid w:val="00DF742C"/>
    <w:rsid w:val="00DF7938"/>
    <w:rsid w:val="00E000E2"/>
    <w:rsid w:val="00E00115"/>
    <w:rsid w:val="00E0045B"/>
    <w:rsid w:val="00E004DB"/>
    <w:rsid w:val="00E005C1"/>
    <w:rsid w:val="00E016A6"/>
    <w:rsid w:val="00E01B3E"/>
    <w:rsid w:val="00E01C97"/>
    <w:rsid w:val="00E020B4"/>
    <w:rsid w:val="00E028C6"/>
    <w:rsid w:val="00E063B3"/>
    <w:rsid w:val="00E07299"/>
    <w:rsid w:val="00E10668"/>
    <w:rsid w:val="00E10987"/>
    <w:rsid w:val="00E10E9F"/>
    <w:rsid w:val="00E12162"/>
    <w:rsid w:val="00E1237D"/>
    <w:rsid w:val="00E1246C"/>
    <w:rsid w:val="00E14C94"/>
    <w:rsid w:val="00E15335"/>
    <w:rsid w:val="00E15FE2"/>
    <w:rsid w:val="00E17A0A"/>
    <w:rsid w:val="00E20973"/>
    <w:rsid w:val="00E20C8D"/>
    <w:rsid w:val="00E20EAD"/>
    <w:rsid w:val="00E2114F"/>
    <w:rsid w:val="00E21FE9"/>
    <w:rsid w:val="00E231B5"/>
    <w:rsid w:val="00E23F3A"/>
    <w:rsid w:val="00E24164"/>
    <w:rsid w:val="00E24FE7"/>
    <w:rsid w:val="00E26030"/>
    <w:rsid w:val="00E26138"/>
    <w:rsid w:val="00E27D5F"/>
    <w:rsid w:val="00E32F77"/>
    <w:rsid w:val="00E33F31"/>
    <w:rsid w:val="00E35AAF"/>
    <w:rsid w:val="00E37B03"/>
    <w:rsid w:val="00E41838"/>
    <w:rsid w:val="00E429CC"/>
    <w:rsid w:val="00E444FA"/>
    <w:rsid w:val="00E44A2E"/>
    <w:rsid w:val="00E456B9"/>
    <w:rsid w:val="00E45B9A"/>
    <w:rsid w:val="00E50BCC"/>
    <w:rsid w:val="00E512B3"/>
    <w:rsid w:val="00E51892"/>
    <w:rsid w:val="00E51C99"/>
    <w:rsid w:val="00E522FD"/>
    <w:rsid w:val="00E5267F"/>
    <w:rsid w:val="00E52E82"/>
    <w:rsid w:val="00E541DB"/>
    <w:rsid w:val="00E54F18"/>
    <w:rsid w:val="00E54F80"/>
    <w:rsid w:val="00E60E89"/>
    <w:rsid w:val="00E61936"/>
    <w:rsid w:val="00E62BA0"/>
    <w:rsid w:val="00E64002"/>
    <w:rsid w:val="00E65069"/>
    <w:rsid w:val="00E6615D"/>
    <w:rsid w:val="00E661DA"/>
    <w:rsid w:val="00E666A2"/>
    <w:rsid w:val="00E676F8"/>
    <w:rsid w:val="00E6795C"/>
    <w:rsid w:val="00E70CBD"/>
    <w:rsid w:val="00E70DC9"/>
    <w:rsid w:val="00E70FF3"/>
    <w:rsid w:val="00E723B5"/>
    <w:rsid w:val="00E72D9D"/>
    <w:rsid w:val="00E73A92"/>
    <w:rsid w:val="00E75E11"/>
    <w:rsid w:val="00E760AA"/>
    <w:rsid w:val="00E775D3"/>
    <w:rsid w:val="00E806D4"/>
    <w:rsid w:val="00E80B12"/>
    <w:rsid w:val="00E827E8"/>
    <w:rsid w:val="00E832F5"/>
    <w:rsid w:val="00E85FC6"/>
    <w:rsid w:val="00E86A2D"/>
    <w:rsid w:val="00E86D1B"/>
    <w:rsid w:val="00E87DB5"/>
    <w:rsid w:val="00E92A8F"/>
    <w:rsid w:val="00E963FB"/>
    <w:rsid w:val="00E975A8"/>
    <w:rsid w:val="00EA0275"/>
    <w:rsid w:val="00EA1299"/>
    <w:rsid w:val="00EA29A3"/>
    <w:rsid w:val="00EA543D"/>
    <w:rsid w:val="00EA71B1"/>
    <w:rsid w:val="00EB025B"/>
    <w:rsid w:val="00EB198B"/>
    <w:rsid w:val="00EB2240"/>
    <w:rsid w:val="00EB247E"/>
    <w:rsid w:val="00EB2982"/>
    <w:rsid w:val="00EB38EF"/>
    <w:rsid w:val="00EB3DF6"/>
    <w:rsid w:val="00EB44C1"/>
    <w:rsid w:val="00EB7983"/>
    <w:rsid w:val="00EC15BB"/>
    <w:rsid w:val="00EC161A"/>
    <w:rsid w:val="00EC1F5C"/>
    <w:rsid w:val="00EC4E93"/>
    <w:rsid w:val="00EC6E0D"/>
    <w:rsid w:val="00ED006E"/>
    <w:rsid w:val="00ED0802"/>
    <w:rsid w:val="00ED11F5"/>
    <w:rsid w:val="00ED4506"/>
    <w:rsid w:val="00ED49AE"/>
    <w:rsid w:val="00ED5D29"/>
    <w:rsid w:val="00ED6EE3"/>
    <w:rsid w:val="00ED6F01"/>
    <w:rsid w:val="00EE1F28"/>
    <w:rsid w:val="00EE279E"/>
    <w:rsid w:val="00EE30E7"/>
    <w:rsid w:val="00EE46DE"/>
    <w:rsid w:val="00EE49E8"/>
    <w:rsid w:val="00EE7541"/>
    <w:rsid w:val="00EE79AE"/>
    <w:rsid w:val="00EF067B"/>
    <w:rsid w:val="00EF0CD0"/>
    <w:rsid w:val="00EF112E"/>
    <w:rsid w:val="00EF284D"/>
    <w:rsid w:val="00EF2A2C"/>
    <w:rsid w:val="00EF30E5"/>
    <w:rsid w:val="00EF4272"/>
    <w:rsid w:val="00EF5746"/>
    <w:rsid w:val="00EF587D"/>
    <w:rsid w:val="00EF64A8"/>
    <w:rsid w:val="00EF7733"/>
    <w:rsid w:val="00EF7A51"/>
    <w:rsid w:val="00EF7E66"/>
    <w:rsid w:val="00F0098C"/>
    <w:rsid w:val="00F03628"/>
    <w:rsid w:val="00F040F0"/>
    <w:rsid w:val="00F049D1"/>
    <w:rsid w:val="00F06D25"/>
    <w:rsid w:val="00F11E9E"/>
    <w:rsid w:val="00F1504E"/>
    <w:rsid w:val="00F1512E"/>
    <w:rsid w:val="00F17716"/>
    <w:rsid w:val="00F206EA"/>
    <w:rsid w:val="00F220CE"/>
    <w:rsid w:val="00F232DE"/>
    <w:rsid w:val="00F24977"/>
    <w:rsid w:val="00F24B2C"/>
    <w:rsid w:val="00F26279"/>
    <w:rsid w:val="00F269C6"/>
    <w:rsid w:val="00F26E44"/>
    <w:rsid w:val="00F2705F"/>
    <w:rsid w:val="00F27C6C"/>
    <w:rsid w:val="00F30FCD"/>
    <w:rsid w:val="00F321A9"/>
    <w:rsid w:val="00F337B3"/>
    <w:rsid w:val="00F33BDF"/>
    <w:rsid w:val="00F34185"/>
    <w:rsid w:val="00F34436"/>
    <w:rsid w:val="00F34A3D"/>
    <w:rsid w:val="00F34FAD"/>
    <w:rsid w:val="00F3539E"/>
    <w:rsid w:val="00F3755A"/>
    <w:rsid w:val="00F37A62"/>
    <w:rsid w:val="00F37C8D"/>
    <w:rsid w:val="00F4129B"/>
    <w:rsid w:val="00F412C1"/>
    <w:rsid w:val="00F4166E"/>
    <w:rsid w:val="00F43AF9"/>
    <w:rsid w:val="00F43F47"/>
    <w:rsid w:val="00F45473"/>
    <w:rsid w:val="00F45A78"/>
    <w:rsid w:val="00F468B8"/>
    <w:rsid w:val="00F470C3"/>
    <w:rsid w:val="00F51A9F"/>
    <w:rsid w:val="00F51DCB"/>
    <w:rsid w:val="00F52D4D"/>
    <w:rsid w:val="00F52E60"/>
    <w:rsid w:val="00F537FA"/>
    <w:rsid w:val="00F550E7"/>
    <w:rsid w:val="00F618F1"/>
    <w:rsid w:val="00F62A1B"/>
    <w:rsid w:val="00F64457"/>
    <w:rsid w:val="00F650D3"/>
    <w:rsid w:val="00F6544E"/>
    <w:rsid w:val="00F6643C"/>
    <w:rsid w:val="00F7024F"/>
    <w:rsid w:val="00F72189"/>
    <w:rsid w:val="00F72B33"/>
    <w:rsid w:val="00F73219"/>
    <w:rsid w:val="00F73667"/>
    <w:rsid w:val="00F73D39"/>
    <w:rsid w:val="00F7454F"/>
    <w:rsid w:val="00F7637B"/>
    <w:rsid w:val="00F76BCF"/>
    <w:rsid w:val="00F77CF6"/>
    <w:rsid w:val="00F8335E"/>
    <w:rsid w:val="00F850DA"/>
    <w:rsid w:val="00F864A9"/>
    <w:rsid w:val="00F86559"/>
    <w:rsid w:val="00F87C10"/>
    <w:rsid w:val="00F916B1"/>
    <w:rsid w:val="00F91E8F"/>
    <w:rsid w:val="00F92280"/>
    <w:rsid w:val="00F9325A"/>
    <w:rsid w:val="00F936FF"/>
    <w:rsid w:val="00F940A7"/>
    <w:rsid w:val="00F941F9"/>
    <w:rsid w:val="00F943CE"/>
    <w:rsid w:val="00F9478D"/>
    <w:rsid w:val="00F97140"/>
    <w:rsid w:val="00FA062B"/>
    <w:rsid w:val="00FA0D5C"/>
    <w:rsid w:val="00FA1077"/>
    <w:rsid w:val="00FA1B27"/>
    <w:rsid w:val="00FA21AA"/>
    <w:rsid w:val="00FA2645"/>
    <w:rsid w:val="00FA4474"/>
    <w:rsid w:val="00FA47DC"/>
    <w:rsid w:val="00FA57E6"/>
    <w:rsid w:val="00FA5F78"/>
    <w:rsid w:val="00FA6179"/>
    <w:rsid w:val="00FA66DE"/>
    <w:rsid w:val="00FA6C94"/>
    <w:rsid w:val="00FA7CB6"/>
    <w:rsid w:val="00FB071A"/>
    <w:rsid w:val="00FB0F21"/>
    <w:rsid w:val="00FB1A16"/>
    <w:rsid w:val="00FB1A1C"/>
    <w:rsid w:val="00FB2692"/>
    <w:rsid w:val="00FB45DC"/>
    <w:rsid w:val="00FB5776"/>
    <w:rsid w:val="00FB5FAE"/>
    <w:rsid w:val="00FB676B"/>
    <w:rsid w:val="00FB743A"/>
    <w:rsid w:val="00FB75B2"/>
    <w:rsid w:val="00FB7FC4"/>
    <w:rsid w:val="00FC0303"/>
    <w:rsid w:val="00FC0557"/>
    <w:rsid w:val="00FC1267"/>
    <w:rsid w:val="00FC268F"/>
    <w:rsid w:val="00FC28C3"/>
    <w:rsid w:val="00FC430A"/>
    <w:rsid w:val="00FC458B"/>
    <w:rsid w:val="00FC5120"/>
    <w:rsid w:val="00FC5961"/>
    <w:rsid w:val="00FC5F3D"/>
    <w:rsid w:val="00FD0D95"/>
    <w:rsid w:val="00FD3526"/>
    <w:rsid w:val="00FD44BB"/>
    <w:rsid w:val="00FD5713"/>
    <w:rsid w:val="00FD6313"/>
    <w:rsid w:val="00FD6CF0"/>
    <w:rsid w:val="00FD7CF9"/>
    <w:rsid w:val="00FE0185"/>
    <w:rsid w:val="00FE0DFF"/>
    <w:rsid w:val="00FE220B"/>
    <w:rsid w:val="00FE39A9"/>
    <w:rsid w:val="00FE4B86"/>
    <w:rsid w:val="00FE4FC0"/>
    <w:rsid w:val="00FE6A77"/>
    <w:rsid w:val="00FE70EE"/>
    <w:rsid w:val="00FF0E7A"/>
    <w:rsid w:val="00FF1D41"/>
    <w:rsid w:val="00FF2CC0"/>
    <w:rsid w:val="00FF2F4B"/>
    <w:rsid w:val="00FF4D5A"/>
    <w:rsid w:val="00FF4EC4"/>
    <w:rsid w:val="00FF4FEA"/>
    <w:rsid w:val="00FF587A"/>
    <w:rsid w:val="00FF6DCE"/>
    <w:rsid w:val="00FF76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96567"/>
  <w15:docId w15:val="{1DE015DC-AA2F-4BB8-8C5B-D0ED2D4AD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0C79"/>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670C79"/>
    <w:pPr>
      <w:keepNext/>
      <w:spacing w:line="360" w:lineRule="auto"/>
      <w:outlineLvl w:val="0"/>
    </w:pPr>
    <w:rPr>
      <w:sz w:val="28"/>
    </w:rPr>
  </w:style>
  <w:style w:type="paragraph" w:styleId="Heading2">
    <w:name w:val="heading 2"/>
    <w:basedOn w:val="Normal"/>
    <w:next w:val="Normal"/>
    <w:link w:val="Heading2Char"/>
    <w:qFormat/>
    <w:rsid w:val="00670C79"/>
    <w:pPr>
      <w:keepNext/>
      <w:jc w:val="both"/>
      <w:outlineLvl w:val="1"/>
    </w:pPr>
    <w:rPr>
      <w:sz w:val="28"/>
    </w:rPr>
  </w:style>
  <w:style w:type="paragraph" w:styleId="Heading3">
    <w:name w:val="heading 3"/>
    <w:basedOn w:val="Normal"/>
    <w:next w:val="Normal"/>
    <w:link w:val="Heading3Char"/>
    <w:uiPriority w:val="9"/>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2C24DC"/>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qFormat/>
    <w:rsid w:val="00670C79"/>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C79"/>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670C79"/>
    <w:rPr>
      <w:rFonts w:ascii="Times New Roman" w:eastAsia="Times New Roman" w:hAnsi="Times New Roman" w:cs="Times New Roman"/>
      <w:sz w:val="28"/>
      <w:szCs w:val="24"/>
      <w:lang w:val="ro-RO"/>
    </w:rPr>
  </w:style>
  <w:style w:type="character" w:customStyle="1" w:styleId="Heading6Char">
    <w:name w:val="Heading 6 Char"/>
    <w:basedOn w:val="DefaultParagraphFont"/>
    <w:link w:val="Heading6"/>
    <w:rsid w:val="00670C79"/>
    <w:rPr>
      <w:rFonts w:ascii="Times New Roman" w:eastAsia="Times New Roman" w:hAnsi="Times New Roman" w:cs="Times New Roman"/>
      <w:b/>
      <w:sz w:val="28"/>
      <w:szCs w:val="24"/>
      <w:lang w:val="ro-RO"/>
    </w:rPr>
  </w:style>
  <w:style w:type="paragraph" w:styleId="BodyTextIndent2">
    <w:name w:val="Body Text Indent 2"/>
    <w:basedOn w:val="Normal"/>
    <w:link w:val="BodyTextIndent2Char"/>
    <w:semiHidden/>
    <w:rsid w:val="00670C79"/>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70C79"/>
    <w:rPr>
      <w:rFonts w:ascii="Times New Roman" w:eastAsia="Times New Roman" w:hAnsi="Times New Roman" w:cs="Times New Roman"/>
      <w:b/>
      <w:bCs/>
      <w:sz w:val="28"/>
      <w:szCs w:val="24"/>
      <w:lang w:val="ro-RO"/>
    </w:rPr>
  </w:style>
  <w:style w:type="paragraph" w:styleId="BodyText2">
    <w:name w:val="Body Text 2"/>
    <w:basedOn w:val="Normal"/>
    <w:link w:val="BodyText2Char"/>
    <w:semiHidden/>
    <w:rsid w:val="00670C79"/>
    <w:pPr>
      <w:jc w:val="both"/>
    </w:pPr>
    <w:rPr>
      <w:sz w:val="28"/>
    </w:rPr>
  </w:style>
  <w:style w:type="character" w:customStyle="1" w:styleId="BodyText2Char">
    <w:name w:val="Body Text 2 Char"/>
    <w:basedOn w:val="DefaultParagraphFont"/>
    <w:link w:val="BodyText2"/>
    <w:semiHidden/>
    <w:rsid w:val="00670C79"/>
    <w:rPr>
      <w:rFonts w:ascii="Times New Roman" w:eastAsia="Times New Roman" w:hAnsi="Times New Roman" w:cs="Times New Roman"/>
      <w:sz w:val="28"/>
      <w:szCs w:val="24"/>
      <w:lang w:val="ro-RO"/>
    </w:rPr>
  </w:style>
  <w:style w:type="paragraph" w:styleId="Title">
    <w:name w:val="Title"/>
    <w:basedOn w:val="Normal"/>
    <w:link w:val="TitleChar"/>
    <w:qFormat/>
    <w:rsid w:val="00670C79"/>
    <w:pPr>
      <w:spacing w:line="360" w:lineRule="auto"/>
      <w:jc w:val="center"/>
    </w:pPr>
    <w:rPr>
      <w:b/>
      <w:sz w:val="32"/>
      <w:szCs w:val="32"/>
    </w:rPr>
  </w:style>
  <w:style w:type="character" w:customStyle="1" w:styleId="TitleChar">
    <w:name w:val="Title Char"/>
    <w:basedOn w:val="DefaultParagraphFont"/>
    <w:link w:val="Title"/>
    <w:rsid w:val="00670C79"/>
    <w:rPr>
      <w:rFonts w:ascii="Times New Roman" w:eastAsia="Times New Roman" w:hAnsi="Times New Roman" w:cs="Times New Roman"/>
      <w:b/>
      <w:sz w:val="32"/>
      <w:szCs w:val="32"/>
      <w:lang w:val="ro-RO"/>
    </w:rPr>
  </w:style>
  <w:style w:type="paragraph" w:styleId="Footer">
    <w:name w:val="footer"/>
    <w:basedOn w:val="Normal"/>
    <w:link w:val="FooterChar"/>
    <w:uiPriority w:val="99"/>
    <w:rsid w:val="00670C79"/>
    <w:pPr>
      <w:tabs>
        <w:tab w:val="center" w:pos="4536"/>
        <w:tab w:val="right" w:pos="9072"/>
      </w:tabs>
    </w:pPr>
  </w:style>
  <w:style w:type="character" w:customStyle="1" w:styleId="FooterChar">
    <w:name w:val="Footer Char"/>
    <w:basedOn w:val="DefaultParagraphFont"/>
    <w:link w:val="Footer"/>
    <w:uiPriority w:val="99"/>
    <w:rsid w:val="00670C79"/>
    <w:rPr>
      <w:rFonts w:ascii="Times New Roman" w:eastAsia="Times New Roman" w:hAnsi="Times New Roman" w:cs="Times New Roman"/>
      <w:sz w:val="24"/>
      <w:szCs w:val="24"/>
      <w:lang w:val="ro-RO"/>
    </w:rPr>
  </w:style>
  <w:style w:type="character" w:styleId="PageNumber">
    <w:name w:val="page number"/>
    <w:basedOn w:val="DefaultParagraphFont"/>
    <w:rsid w:val="00670C79"/>
  </w:style>
  <w:style w:type="table" w:styleId="TableGrid">
    <w:name w:val="Table Grid"/>
    <w:basedOn w:val="TableNormal"/>
    <w:uiPriority w:val="59"/>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70C79"/>
    <w:rPr>
      <w:rFonts w:ascii="Courier New" w:eastAsia="Times New Roman" w:hAnsi="Courier New" w:cs="Courier New"/>
      <w:sz w:val="20"/>
      <w:szCs w:val="20"/>
      <w:lang w:val="ro-RO" w:eastAsia="ro-RO"/>
    </w:rPr>
  </w:style>
  <w:style w:type="paragraph" w:styleId="NoSpacing">
    <w:name w:val="No Spacing"/>
    <w:link w:val="NoSpacingChar"/>
    <w:qFormat/>
    <w:rsid w:val="00966D02"/>
    <w:pPr>
      <w:spacing w:after="0" w:line="240" w:lineRule="auto"/>
    </w:pPr>
    <w:rPr>
      <w:rFonts w:ascii="Calibri" w:eastAsia="Calibri" w:hAnsi="Calibri" w:cs="Times New Roman"/>
    </w:rPr>
  </w:style>
  <w:style w:type="character" w:customStyle="1" w:styleId="NoSpacingChar">
    <w:name w:val="No Spacing Char"/>
    <w:link w:val="NoSpacing"/>
    <w:locked/>
    <w:rsid w:val="00966D02"/>
    <w:rPr>
      <w:rFonts w:ascii="Calibri" w:eastAsia="Calibri" w:hAnsi="Calibri" w:cs="Times New Roman"/>
    </w:rPr>
  </w:style>
  <w:style w:type="paragraph" w:styleId="BalloonText">
    <w:name w:val="Balloon Text"/>
    <w:basedOn w:val="Normal"/>
    <w:link w:val="BalloonTextChar"/>
    <w:uiPriority w:val="99"/>
    <w:semiHidden/>
    <w:unhideWhenUsed/>
    <w:rsid w:val="00BA4E0F"/>
    <w:rPr>
      <w:rFonts w:ascii="Tahoma" w:hAnsi="Tahoma" w:cs="Tahoma"/>
      <w:sz w:val="16"/>
      <w:szCs w:val="16"/>
    </w:rPr>
  </w:style>
  <w:style w:type="character" w:customStyle="1" w:styleId="BalloonTextChar">
    <w:name w:val="Balloon Text Char"/>
    <w:basedOn w:val="DefaultParagraphFont"/>
    <w:link w:val="BalloonText"/>
    <w:uiPriority w:val="99"/>
    <w:semiHidden/>
    <w:rsid w:val="00BA4E0F"/>
    <w:rPr>
      <w:rFonts w:ascii="Tahoma" w:eastAsia="Times New Roman" w:hAnsi="Tahoma" w:cs="Tahoma"/>
      <w:sz w:val="16"/>
      <w:szCs w:val="16"/>
      <w:lang w:val="ro-RO"/>
    </w:rPr>
  </w:style>
  <w:style w:type="character" w:styleId="CommentReference">
    <w:name w:val="annotation reference"/>
    <w:basedOn w:val="DefaultParagraphFont"/>
    <w:unhideWhenUsed/>
    <w:rsid w:val="00CE7B3A"/>
    <w:rPr>
      <w:sz w:val="16"/>
      <w:szCs w:val="16"/>
    </w:rPr>
  </w:style>
  <w:style w:type="paragraph" w:styleId="CommentText">
    <w:name w:val="annotation text"/>
    <w:basedOn w:val="Normal"/>
    <w:link w:val="CommentTextChar"/>
    <w:uiPriority w:val="99"/>
    <w:unhideWhenUsed/>
    <w:rsid w:val="00CE7B3A"/>
    <w:rPr>
      <w:sz w:val="20"/>
      <w:szCs w:val="20"/>
    </w:rPr>
  </w:style>
  <w:style w:type="character" w:customStyle="1" w:styleId="CommentTextChar">
    <w:name w:val="Comment Text Char"/>
    <w:basedOn w:val="DefaultParagraphFont"/>
    <w:link w:val="CommentText"/>
    <w:uiPriority w:val="99"/>
    <w:rsid w:val="00CE7B3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7B3A"/>
    <w:rPr>
      <w:b/>
      <w:bCs/>
    </w:rPr>
  </w:style>
  <w:style w:type="character" w:customStyle="1" w:styleId="CommentSubjectChar">
    <w:name w:val="Comment Subject Char"/>
    <w:basedOn w:val="CommentTextChar"/>
    <w:link w:val="CommentSubject"/>
    <w:uiPriority w:val="99"/>
    <w:semiHidden/>
    <w:rsid w:val="00CE7B3A"/>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9"/>
    <w:rsid w:val="00C01DF1"/>
    <w:rPr>
      <w:rFonts w:asciiTheme="majorHAnsi" w:eastAsiaTheme="majorEastAsia" w:hAnsiTheme="majorHAnsi" w:cstheme="majorBidi"/>
      <w:b/>
      <w:bCs/>
      <w:color w:val="5B9BD5" w:themeColor="accent1"/>
      <w:sz w:val="24"/>
      <w:szCs w:val="24"/>
      <w:lang w:val="ro-RO"/>
    </w:rPr>
  </w:style>
  <w:style w:type="paragraph" w:styleId="ListParagraph">
    <w:name w:val="List Paragraph"/>
    <w:aliases w:val="Normal bullet 2,List Paragraph1,List1,body 2,List Paragraph11,Listă colorată - Accentuare 11,Bullet,Citation List,Forth level"/>
    <w:basedOn w:val="Normal"/>
    <w:link w:val="ListParagraphChar"/>
    <w:uiPriority w:val="34"/>
    <w:qFormat/>
    <w:rsid w:val="00CD681E"/>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
    <w:uiPriority w:val="99"/>
    <w:locked/>
    <w:rsid w:val="009B71DC"/>
    <w:rPr>
      <w:sz w:val="24"/>
      <w:szCs w:val="24"/>
      <w:lang w:val="ro-RO"/>
    </w:rPr>
  </w:style>
  <w:style w:type="character" w:customStyle="1" w:styleId="ColorfulList-Accent1Char">
    <w:name w:val="Colorful List - Accent 1 Char"/>
    <w:link w:val="ColorfulList-Accent1"/>
    <w:uiPriority w:val="34"/>
    <w:locked/>
    <w:rsid w:val="009B71DC"/>
    <w:rPr>
      <w:noProof/>
      <w:sz w:val="24"/>
      <w:szCs w:val="24"/>
      <w:lang w:val="ro-RO"/>
    </w:rPr>
  </w:style>
  <w:style w:type="table" w:styleId="ColorfulList-Accent1">
    <w:name w:val="Colorful List Accent 1"/>
    <w:basedOn w:val="Table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A47F0"/>
    <w:pPr>
      <w:tabs>
        <w:tab w:val="center" w:pos="4536"/>
        <w:tab w:val="right" w:pos="9072"/>
      </w:tabs>
    </w:pPr>
  </w:style>
  <w:style w:type="character" w:customStyle="1" w:styleId="HeaderChar">
    <w:name w:val="Header Char"/>
    <w:basedOn w:val="DefaultParagraphFont"/>
    <w:link w:val="Header"/>
    <w:uiPriority w:val="99"/>
    <w:rsid w:val="00BA47F0"/>
    <w:rPr>
      <w:rFonts w:ascii="Times New Roman" w:eastAsia="Times New Roman" w:hAnsi="Times New Roman" w:cs="Times New Roman"/>
      <w:sz w:val="24"/>
      <w:szCs w:val="24"/>
      <w:lang w:val="ro-RO"/>
    </w:rPr>
  </w:style>
  <w:style w:type="character" w:customStyle="1" w:styleId="panchor">
    <w:name w:val="panchor"/>
    <w:basedOn w:val="DefaultParagraphFont"/>
    <w:rsid w:val="00161A61"/>
  </w:style>
  <w:style w:type="character" w:styleId="Hyperlink">
    <w:name w:val="Hyperlink"/>
    <w:basedOn w:val="DefaultParagraphFont"/>
    <w:uiPriority w:val="99"/>
    <w:unhideWhenUsed/>
    <w:rsid w:val="001B7961"/>
    <w:rPr>
      <w:color w:val="0000FF"/>
      <w:u w:val="single"/>
    </w:rPr>
  </w:style>
  <w:style w:type="character" w:customStyle="1" w:styleId="slgi">
    <w:name w:val="s_lgi"/>
    <w:basedOn w:val="DefaultParagraphFont"/>
    <w:rsid w:val="00EF067B"/>
  </w:style>
  <w:style w:type="paragraph" w:styleId="Revision">
    <w:name w:val="Revision"/>
    <w:hidden/>
    <w:uiPriority w:val="99"/>
    <w:semiHidden/>
    <w:rsid w:val="00E51892"/>
    <w:pPr>
      <w:spacing w:after="0" w:line="240" w:lineRule="auto"/>
    </w:pPr>
    <w:rPr>
      <w:rFonts w:ascii="Times New Roman" w:eastAsia="Times New Roman" w:hAnsi="Times New Roman" w:cs="Times New Roman"/>
      <w:sz w:val="24"/>
      <w:szCs w:val="24"/>
      <w:lang w:val="ro-RO"/>
    </w:rPr>
  </w:style>
  <w:style w:type="table" w:customStyle="1" w:styleId="TableGrid1">
    <w:name w:val="Table Grid1"/>
    <w:basedOn w:val="TableNormal"/>
    <w:next w:val="TableGrid"/>
    <w:uiPriority w:val="59"/>
    <w:rsid w:val="00357FC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9561EC"/>
    <w:rPr>
      <w:color w:val="605E5C"/>
      <w:shd w:val="clear" w:color="auto" w:fill="E1DFDD"/>
    </w:rPr>
  </w:style>
  <w:style w:type="paragraph" w:customStyle="1" w:styleId="Default">
    <w:name w:val="Default"/>
    <w:rsid w:val="00406B07"/>
    <w:pPr>
      <w:autoSpaceDE w:val="0"/>
      <w:autoSpaceDN w:val="0"/>
      <w:adjustRightInd w:val="0"/>
      <w:spacing w:after="0" w:line="240" w:lineRule="auto"/>
    </w:pPr>
    <w:rPr>
      <w:rFonts w:ascii="EUAlbertina" w:hAnsi="EUAlbertina" w:cs="EUAlbertina"/>
      <w:color w:val="000000"/>
      <w:sz w:val="24"/>
      <w:szCs w:val="24"/>
    </w:rPr>
  </w:style>
  <w:style w:type="paragraph" w:styleId="NormalWeb">
    <w:name w:val="Normal (Web)"/>
    <w:basedOn w:val="Normal"/>
    <w:uiPriority w:val="99"/>
    <w:unhideWhenUsed/>
    <w:rsid w:val="0053303E"/>
    <w:pPr>
      <w:spacing w:before="100" w:beforeAutospacing="1" w:after="100" w:afterAutospacing="1"/>
    </w:pPr>
    <w:rPr>
      <w:rFonts w:eastAsiaTheme="minorEastAsia"/>
      <w:lang w:eastAsia="ro-RO"/>
    </w:rPr>
  </w:style>
  <w:style w:type="character" w:styleId="Strong">
    <w:name w:val="Strong"/>
    <w:basedOn w:val="DefaultParagraphFont"/>
    <w:uiPriority w:val="22"/>
    <w:qFormat/>
    <w:rsid w:val="003E628B"/>
    <w:rPr>
      <w:b/>
      <w:bCs/>
    </w:rPr>
  </w:style>
  <w:style w:type="character" w:customStyle="1" w:styleId="muxgbd">
    <w:name w:val="muxgbd"/>
    <w:basedOn w:val="DefaultParagraphFont"/>
    <w:rsid w:val="003E628B"/>
  </w:style>
  <w:style w:type="character" w:customStyle="1" w:styleId="Heading4Char">
    <w:name w:val="Heading 4 Char"/>
    <w:basedOn w:val="DefaultParagraphFont"/>
    <w:link w:val="Heading4"/>
    <w:uiPriority w:val="9"/>
    <w:semiHidden/>
    <w:rsid w:val="002C24DC"/>
    <w:rPr>
      <w:rFonts w:asciiTheme="majorHAnsi" w:eastAsiaTheme="majorEastAsia" w:hAnsiTheme="majorHAnsi" w:cstheme="majorBidi"/>
      <w:i/>
      <w:iCs/>
      <w:color w:val="2E74B5" w:themeColor="accent1" w:themeShade="BF"/>
      <w:sz w:val="24"/>
      <w:szCs w:val="24"/>
      <w:lang w:val="ro-RO"/>
    </w:rPr>
  </w:style>
  <w:style w:type="character" w:customStyle="1" w:styleId="UnresolvedMention2">
    <w:name w:val="Unresolved Mention2"/>
    <w:basedOn w:val="DefaultParagraphFont"/>
    <w:uiPriority w:val="99"/>
    <w:semiHidden/>
    <w:unhideWhenUsed/>
    <w:rsid w:val="001F5B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93898">
      <w:bodyDiv w:val="1"/>
      <w:marLeft w:val="0"/>
      <w:marRight w:val="0"/>
      <w:marTop w:val="0"/>
      <w:marBottom w:val="0"/>
      <w:divBdr>
        <w:top w:val="none" w:sz="0" w:space="0" w:color="auto"/>
        <w:left w:val="none" w:sz="0" w:space="0" w:color="auto"/>
        <w:bottom w:val="none" w:sz="0" w:space="0" w:color="auto"/>
        <w:right w:val="none" w:sz="0" w:space="0" w:color="auto"/>
      </w:divBdr>
    </w:div>
    <w:div w:id="163595865">
      <w:bodyDiv w:val="1"/>
      <w:marLeft w:val="0"/>
      <w:marRight w:val="0"/>
      <w:marTop w:val="0"/>
      <w:marBottom w:val="0"/>
      <w:divBdr>
        <w:top w:val="none" w:sz="0" w:space="0" w:color="auto"/>
        <w:left w:val="none" w:sz="0" w:space="0" w:color="auto"/>
        <w:bottom w:val="none" w:sz="0" w:space="0" w:color="auto"/>
        <w:right w:val="none" w:sz="0" w:space="0" w:color="auto"/>
      </w:divBdr>
    </w:div>
    <w:div w:id="166097451">
      <w:bodyDiv w:val="1"/>
      <w:marLeft w:val="0"/>
      <w:marRight w:val="0"/>
      <w:marTop w:val="0"/>
      <w:marBottom w:val="0"/>
      <w:divBdr>
        <w:top w:val="none" w:sz="0" w:space="0" w:color="auto"/>
        <w:left w:val="none" w:sz="0" w:space="0" w:color="auto"/>
        <w:bottom w:val="none" w:sz="0" w:space="0" w:color="auto"/>
        <w:right w:val="none" w:sz="0" w:space="0" w:color="auto"/>
      </w:divBdr>
    </w:div>
    <w:div w:id="168638186">
      <w:bodyDiv w:val="1"/>
      <w:marLeft w:val="0"/>
      <w:marRight w:val="0"/>
      <w:marTop w:val="0"/>
      <w:marBottom w:val="0"/>
      <w:divBdr>
        <w:top w:val="none" w:sz="0" w:space="0" w:color="auto"/>
        <w:left w:val="none" w:sz="0" w:space="0" w:color="auto"/>
        <w:bottom w:val="none" w:sz="0" w:space="0" w:color="auto"/>
        <w:right w:val="none" w:sz="0" w:space="0" w:color="auto"/>
      </w:divBdr>
    </w:div>
    <w:div w:id="186409884">
      <w:bodyDiv w:val="1"/>
      <w:marLeft w:val="0"/>
      <w:marRight w:val="0"/>
      <w:marTop w:val="0"/>
      <w:marBottom w:val="0"/>
      <w:divBdr>
        <w:top w:val="none" w:sz="0" w:space="0" w:color="auto"/>
        <w:left w:val="none" w:sz="0" w:space="0" w:color="auto"/>
        <w:bottom w:val="none" w:sz="0" w:space="0" w:color="auto"/>
        <w:right w:val="none" w:sz="0" w:space="0" w:color="auto"/>
      </w:divBdr>
    </w:div>
    <w:div w:id="196622305">
      <w:bodyDiv w:val="1"/>
      <w:marLeft w:val="0"/>
      <w:marRight w:val="0"/>
      <w:marTop w:val="0"/>
      <w:marBottom w:val="0"/>
      <w:divBdr>
        <w:top w:val="none" w:sz="0" w:space="0" w:color="auto"/>
        <w:left w:val="none" w:sz="0" w:space="0" w:color="auto"/>
        <w:bottom w:val="none" w:sz="0" w:space="0" w:color="auto"/>
        <w:right w:val="none" w:sz="0" w:space="0" w:color="auto"/>
      </w:divBdr>
    </w:div>
    <w:div w:id="264387125">
      <w:bodyDiv w:val="1"/>
      <w:marLeft w:val="0"/>
      <w:marRight w:val="0"/>
      <w:marTop w:val="0"/>
      <w:marBottom w:val="0"/>
      <w:divBdr>
        <w:top w:val="none" w:sz="0" w:space="0" w:color="auto"/>
        <w:left w:val="none" w:sz="0" w:space="0" w:color="auto"/>
        <w:bottom w:val="none" w:sz="0" w:space="0" w:color="auto"/>
        <w:right w:val="none" w:sz="0" w:space="0" w:color="auto"/>
      </w:divBdr>
    </w:div>
    <w:div w:id="274027299">
      <w:bodyDiv w:val="1"/>
      <w:marLeft w:val="0"/>
      <w:marRight w:val="0"/>
      <w:marTop w:val="0"/>
      <w:marBottom w:val="0"/>
      <w:divBdr>
        <w:top w:val="none" w:sz="0" w:space="0" w:color="auto"/>
        <w:left w:val="none" w:sz="0" w:space="0" w:color="auto"/>
        <w:bottom w:val="none" w:sz="0" w:space="0" w:color="auto"/>
        <w:right w:val="none" w:sz="0" w:space="0" w:color="auto"/>
      </w:divBdr>
    </w:div>
    <w:div w:id="341670646">
      <w:bodyDiv w:val="1"/>
      <w:marLeft w:val="0"/>
      <w:marRight w:val="0"/>
      <w:marTop w:val="0"/>
      <w:marBottom w:val="0"/>
      <w:divBdr>
        <w:top w:val="none" w:sz="0" w:space="0" w:color="auto"/>
        <w:left w:val="none" w:sz="0" w:space="0" w:color="auto"/>
        <w:bottom w:val="none" w:sz="0" w:space="0" w:color="auto"/>
        <w:right w:val="none" w:sz="0" w:space="0" w:color="auto"/>
      </w:divBdr>
    </w:div>
    <w:div w:id="373122914">
      <w:bodyDiv w:val="1"/>
      <w:marLeft w:val="0"/>
      <w:marRight w:val="0"/>
      <w:marTop w:val="0"/>
      <w:marBottom w:val="0"/>
      <w:divBdr>
        <w:top w:val="none" w:sz="0" w:space="0" w:color="auto"/>
        <w:left w:val="none" w:sz="0" w:space="0" w:color="auto"/>
        <w:bottom w:val="none" w:sz="0" w:space="0" w:color="auto"/>
        <w:right w:val="none" w:sz="0" w:space="0" w:color="auto"/>
      </w:divBdr>
    </w:div>
    <w:div w:id="398329692">
      <w:bodyDiv w:val="1"/>
      <w:marLeft w:val="0"/>
      <w:marRight w:val="0"/>
      <w:marTop w:val="0"/>
      <w:marBottom w:val="0"/>
      <w:divBdr>
        <w:top w:val="none" w:sz="0" w:space="0" w:color="auto"/>
        <w:left w:val="none" w:sz="0" w:space="0" w:color="auto"/>
        <w:bottom w:val="none" w:sz="0" w:space="0" w:color="auto"/>
        <w:right w:val="none" w:sz="0" w:space="0" w:color="auto"/>
      </w:divBdr>
    </w:div>
    <w:div w:id="435490971">
      <w:bodyDiv w:val="1"/>
      <w:marLeft w:val="0"/>
      <w:marRight w:val="0"/>
      <w:marTop w:val="0"/>
      <w:marBottom w:val="0"/>
      <w:divBdr>
        <w:top w:val="none" w:sz="0" w:space="0" w:color="auto"/>
        <w:left w:val="none" w:sz="0" w:space="0" w:color="auto"/>
        <w:bottom w:val="none" w:sz="0" w:space="0" w:color="auto"/>
        <w:right w:val="none" w:sz="0" w:space="0" w:color="auto"/>
      </w:divBdr>
    </w:div>
    <w:div w:id="472066420">
      <w:bodyDiv w:val="1"/>
      <w:marLeft w:val="0"/>
      <w:marRight w:val="0"/>
      <w:marTop w:val="0"/>
      <w:marBottom w:val="0"/>
      <w:divBdr>
        <w:top w:val="none" w:sz="0" w:space="0" w:color="auto"/>
        <w:left w:val="none" w:sz="0" w:space="0" w:color="auto"/>
        <w:bottom w:val="none" w:sz="0" w:space="0" w:color="auto"/>
        <w:right w:val="none" w:sz="0" w:space="0" w:color="auto"/>
      </w:divBdr>
    </w:div>
    <w:div w:id="648753987">
      <w:bodyDiv w:val="1"/>
      <w:marLeft w:val="0"/>
      <w:marRight w:val="0"/>
      <w:marTop w:val="0"/>
      <w:marBottom w:val="0"/>
      <w:divBdr>
        <w:top w:val="none" w:sz="0" w:space="0" w:color="auto"/>
        <w:left w:val="none" w:sz="0" w:space="0" w:color="auto"/>
        <w:bottom w:val="none" w:sz="0" w:space="0" w:color="auto"/>
        <w:right w:val="none" w:sz="0" w:space="0" w:color="auto"/>
      </w:divBdr>
    </w:div>
    <w:div w:id="655841619">
      <w:bodyDiv w:val="1"/>
      <w:marLeft w:val="0"/>
      <w:marRight w:val="0"/>
      <w:marTop w:val="0"/>
      <w:marBottom w:val="0"/>
      <w:divBdr>
        <w:top w:val="none" w:sz="0" w:space="0" w:color="auto"/>
        <w:left w:val="none" w:sz="0" w:space="0" w:color="auto"/>
        <w:bottom w:val="none" w:sz="0" w:space="0" w:color="auto"/>
        <w:right w:val="none" w:sz="0" w:space="0" w:color="auto"/>
      </w:divBdr>
    </w:div>
    <w:div w:id="724794826">
      <w:bodyDiv w:val="1"/>
      <w:marLeft w:val="0"/>
      <w:marRight w:val="0"/>
      <w:marTop w:val="0"/>
      <w:marBottom w:val="0"/>
      <w:divBdr>
        <w:top w:val="none" w:sz="0" w:space="0" w:color="auto"/>
        <w:left w:val="none" w:sz="0" w:space="0" w:color="auto"/>
        <w:bottom w:val="none" w:sz="0" w:space="0" w:color="auto"/>
        <w:right w:val="none" w:sz="0" w:space="0" w:color="auto"/>
      </w:divBdr>
    </w:div>
    <w:div w:id="821501846">
      <w:bodyDiv w:val="1"/>
      <w:marLeft w:val="0"/>
      <w:marRight w:val="0"/>
      <w:marTop w:val="0"/>
      <w:marBottom w:val="0"/>
      <w:divBdr>
        <w:top w:val="none" w:sz="0" w:space="0" w:color="auto"/>
        <w:left w:val="none" w:sz="0" w:space="0" w:color="auto"/>
        <w:bottom w:val="none" w:sz="0" w:space="0" w:color="auto"/>
        <w:right w:val="none" w:sz="0" w:space="0" w:color="auto"/>
      </w:divBdr>
    </w:div>
    <w:div w:id="821700759">
      <w:bodyDiv w:val="1"/>
      <w:marLeft w:val="0"/>
      <w:marRight w:val="0"/>
      <w:marTop w:val="0"/>
      <w:marBottom w:val="0"/>
      <w:divBdr>
        <w:top w:val="none" w:sz="0" w:space="0" w:color="auto"/>
        <w:left w:val="none" w:sz="0" w:space="0" w:color="auto"/>
        <w:bottom w:val="none" w:sz="0" w:space="0" w:color="auto"/>
        <w:right w:val="none" w:sz="0" w:space="0" w:color="auto"/>
      </w:divBdr>
    </w:div>
    <w:div w:id="916860072">
      <w:bodyDiv w:val="1"/>
      <w:marLeft w:val="0"/>
      <w:marRight w:val="0"/>
      <w:marTop w:val="0"/>
      <w:marBottom w:val="0"/>
      <w:divBdr>
        <w:top w:val="none" w:sz="0" w:space="0" w:color="auto"/>
        <w:left w:val="none" w:sz="0" w:space="0" w:color="auto"/>
        <w:bottom w:val="none" w:sz="0" w:space="0" w:color="auto"/>
        <w:right w:val="none" w:sz="0" w:space="0" w:color="auto"/>
      </w:divBdr>
    </w:div>
    <w:div w:id="1022050013">
      <w:bodyDiv w:val="1"/>
      <w:marLeft w:val="0"/>
      <w:marRight w:val="0"/>
      <w:marTop w:val="0"/>
      <w:marBottom w:val="0"/>
      <w:divBdr>
        <w:top w:val="none" w:sz="0" w:space="0" w:color="auto"/>
        <w:left w:val="none" w:sz="0" w:space="0" w:color="auto"/>
        <w:bottom w:val="none" w:sz="0" w:space="0" w:color="auto"/>
        <w:right w:val="none" w:sz="0" w:space="0" w:color="auto"/>
      </w:divBdr>
    </w:div>
    <w:div w:id="1069763157">
      <w:bodyDiv w:val="1"/>
      <w:marLeft w:val="0"/>
      <w:marRight w:val="0"/>
      <w:marTop w:val="0"/>
      <w:marBottom w:val="0"/>
      <w:divBdr>
        <w:top w:val="none" w:sz="0" w:space="0" w:color="auto"/>
        <w:left w:val="none" w:sz="0" w:space="0" w:color="auto"/>
        <w:bottom w:val="none" w:sz="0" w:space="0" w:color="auto"/>
        <w:right w:val="none" w:sz="0" w:space="0" w:color="auto"/>
      </w:divBdr>
    </w:div>
    <w:div w:id="1114708165">
      <w:bodyDiv w:val="1"/>
      <w:marLeft w:val="0"/>
      <w:marRight w:val="0"/>
      <w:marTop w:val="0"/>
      <w:marBottom w:val="0"/>
      <w:divBdr>
        <w:top w:val="none" w:sz="0" w:space="0" w:color="auto"/>
        <w:left w:val="none" w:sz="0" w:space="0" w:color="auto"/>
        <w:bottom w:val="none" w:sz="0" w:space="0" w:color="auto"/>
        <w:right w:val="none" w:sz="0" w:space="0" w:color="auto"/>
      </w:divBdr>
    </w:div>
    <w:div w:id="1135099875">
      <w:bodyDiv w:val="1"/>
      <w:marLeft w:val="0"/>
      <w:marRight w:val="0"/>
      <w:marTop w:val="0"/>
      <w:marBottom w:val="0"/>
      <w:divBdr>
        <w:top w:val="none" w:sz="0" w:space="0" w:color="auto"/>
        <w:left w:val="none" w:sz="0" w:space="0" w:color="auto"/>
        <w:bottom w:val="none" w:sz="0" w:space="0" w:color="auto"/>
        <w:right w:val="none" w:sz="0" w:space="0" w:color="auto"/>
      </w:divBdr>
    </w:div>
    <w:div w:id="1137842082">
      <w:bodyDiv w:val="1"/>
      <w:marLeft w:val="0"/>
      <w:marRight w:val="0"/>
      <w:marTop w:val="0"/>
      <w:marBottom w:val="0"/>
      <w:divBdr>
        <w:top w:val="none" w:sz="0" w:space="0" w:color="auto"/>
        <w:left w:val="none" w:sz="0" w:space="0" w:color="auto"/>
        <w:bottom w:val="none" w:sz="0" w:space="0" w:color="auto"/>
        <w:right w:val="none" w:sz="0" w:space="0" w:color="auto"/>
      </w:divBdr>
    </w:div>
    <w:div w:id="1190483589">
      <w:bodyDiv w:val="1"/>
      <w:marLeft w:val="0"/>
      <w:marRight w:val="0"/>
      <w:marTop w:val="0"/>
      <w:marBottom w:val="0"/>
      <w:divBdr>
        <w:top w:val="none" w:sz="0" w:space="0" w:color="auto"/>
        <w:left w:val="none" w:sz="0" w:space="0" w:color="auto"/>
        <w:bottom w:val="none" w:sz="0" w:space="0" w:color="auto"/>
        <w:right w:val="none" w:sz="0" w:space="0" w:color="auto"/>
      </w:divBdr>
    </w:div>
    <w:div w:id="1229028653">
      <w:bodyDiv w:val="1"/>
      <w:marLeft w:val="0"/>
      <w:marRight w:val="0"/>
      <w:marTop w:val="0"/>
      <w:marBottom w:val="0"/>
      <w:divBdr>
        <w:top w:val="none" w:sz="0" w:space="0" w:color="auto"/>
        <w:left w:val="none" w:sz="0" w:space="0" w:color="auto"/>
        <w:bottom w:val="none" w:sz="0" w:space="0" w:color="auto"/>
        <w:right w:val="none" w:sz="0" w:space="0" w:color="auto"/>
      </w:divBdr>
    </w:div>
    <w:div w:id="1302812629">
      <w:bodyDiv w:val="1"/>
      <w:marLeft w:val="0"/>
      <w:marRight w:val="0"/>
      <w:marTop w:val="0"/>
      <w:marBottom w:val="0"/>
      <w:divBdr>
        <w:top w:val="none" w:sz="0" w:space="0" w:color="auto"/>
        <w:left w:val="none" w:sz="0" w:space="0" w:color="auto"/>
        <w:bottom w:val="none" w:sz="0" w:space="0" w:color="auto"/>
        <w:right w:val="none" w:sz="0" w:space="0" w:color="auto"/>
      </w:divBdr>
    </w:div>
    <w:div w:id="1327518847">
      <w:bodyDiv w:val="1"/>
      <w:marLeft w:val="0"/>
      <w:marRight w:val="0"/>
      <w:marTop w:val="0"/>
      <w:marBottom w:val="0"/>
      <w:divBdr>
        <w:top w:val="none" w:sz="0" w:space="0" w:color="auto"/>
        <w:left w:val="none" w:sz="0" w:space="0" w:color="auto"/>
        <w:bottom w:val="none" w:sz="0" w:space="0" w:color="auto"/>
        <w:right w:val="none" w:sz="0" w:space="0" w:color="auto"/>
      </w:divBdr>
    </w:div>
    <w:div w:id="1390300175">
      <w:bodyDiv w:val="1"/>
      <w:marLeft w:val="0"/>
      <w:marRight w:val="0"/>
      <w:marTop w:val="0"/>
      <w:marBottom w:val="0"/>
      <w:divBdr>
        <w:top w:val="none" w:sz="0" w:space="0" w:color="auto"/>
        <w:left w:val="none" w:sz="0" w:space="0" w:color="auto"/>
        <w:bottom w:val="none" w:sz="0" w:space="0" w:color="auto"/>
        <w:right w:val="none" w:sz="0" w:space="0" w:color="auto"/>
      </w:divBdr>
    </w:div>
    <w:div w:id="1413354410">
      <w:bodyDiv w:val="1"/>
      <w:marLeft w:val="0"/>
      <w:marRight w:val="0"/>
      <w:marTop w:val="0"/>
      <w:marBottom w:val="0"/>
      <w:divBdr>
        <w:top w:val="none" w:sz="0" w:space="0" w:color="auto"/>
        <w:left w:val="none" w:sz="0" w:space="0" w:color="auto"/>
        <w:bottom w:val="none" w:sz="0" w:space="0" w:color="auto"/>
        <w:right w:val="none" w:sz="0" w:space="0" w:color="auto"/>
      </w:divBdr>
    </w:div>
    <w:div w:id="1470589820">
      <w:bodyDiv w:val="1"/>
      <w:marLeft w:val="0"/>
      <w:marRight w:val="0"/>
      <w:marTop w:val="0"/>
      <w:marBottom w:val="0"/>
      <w:divBdr>
        <w:top w:val="none" w:sz="0" w:space="0" w:color="auto"/>
        <w:left w:val="none" w:sz="0" w:space="0" w:color="auto"/>
        <w:bottom w:val="none" w:sz="0" w:space="0" w:color="auto"/>
        <w:right w:val="none" w:sz="0" w:space="0" w:color="auto"/>
      </w:divBdr>
    </w:div>
    <w:div w:id="1484353612">
      <w:bodyDiv w:val="1"/>
      <w:marLeft w:val="0"/>
      <w:marRight w:val="0"/>
      <w:marTop w:val="0"/>
      <w:marBottom w:val="0"/>
      <w:divBdr>
        <w:top w:val="none" w:sz="0" w:space="0" w:color="auto"/>
        <w:left w:val="none" w:sz="0" w:space="0" w:color="auto"/>
        <w:bottom w:val="none" w:sz="0" w:space="0" w:color="auto"/>
        <w:right w:val="none" w:sz="0" w:space="0" w:color="auto"/>
      </w:divBdr>
    </w:div>
    <w:div w:id="1487282297">
      <w:bodyDiv w:val="1"/>
      <w:marLeft w:val="0"/>
      <w:marRight w:val="0"/>
      <w:marTop w:val="0"/>
      <w:marBottom w:val="0"/>
      <w:divBdr>
        <w:top w:val="none" w:sz="0" w:space="0" w:color="auto"/>
        <w:left w:val="none" w:sz="0" w:space="0" w:color="auto"/>
        <w:bottom w:val="none" w:sz="0" w:space="0" w:color="auto"/>
        <w:right w:val="none" w:sz="0" w:space="0" w:color="auto"/>
      </w:divBdr>
    </w:div>
    <w:div w:id="1531215474">
      <w:bodyDiv w:val="1"/>
      <w:marLeft w:val="0"/>
      <w:marRight w:val="0"/>
      <w:marTop w:val="0"/>
      <w:marBottom w:val="0"/>
      <w:divBdr>
        <w:top w:val="none" w:sz="0" w:space="0" w:color="auto"/>
        <w:left w:val="none" w:sz="0" w:space="0" w:color="auto"/>
        <w:bottom w:val="none" w:sz="0" w:space="0" w:color="auto"/>
        <w:right w:val="none" w:sz="0" w:space="0" w:color="auto"/>
      </w:divBdr>
    </w:div>
    <w:div w:id="1576210594">
      <w:bodyDiv w:val="1"/>
      <w:marLeft w:val="0"/>
      <w:marRight w:val="0"/>
      <w:marTop w:val="0"/>
      <w:marBottom w:val="0"/>
      <w:divBdr>
        <w:top w:val="none" w:sz="0" w:space="0" w:color="auto"/>
        <w:left w:val="none" w:sz="0" w:space="0" w:color="auto"/>
        <w:bottom w:val="none" w:sz="0" w:space="0" w:color="auto"/>
        <w:right w:val="none" w:sz="0" w:space="0" w:color="auto"/>
      </w:divBdr>
    </w:div>
    <w:div w:id="1603996462">
      <w:bodyDiv w:val="1"/>
      <w:marLeft w:val="0"/>
      <w:marRight w:val="0"/>
      <w:marTop w:val="0"/>
      <w:marBottom w:val="0"/>
      <w:divBdr>
        <w:top w:val="none" w:sz="0" w:space="0" w:color="auto"/>
        <w:left w:val="none" w:sz="0" w:space="0" w:color="auto"/>
        <w:bottom w:val="none" w:sz="0" w:space="0" w:color="auto"/>
        <w:right w:val="none" w:sz="0" w:space="0" w:color="auto"/>
      </w:divBdr>
    </w:div>
    <w:div w:id="1623031635">
      <w:bodyDiv w:val="1"/>
      <w:marLeft w:val="0"/>
      <w:marRight w:val="0"/>
      <w:marTop w:val="0"/>
      <w:marBottom w:val="0"/>
      <w:divBdr>
        <w:top w:val="none" w:sz="0" w:space="0" w:color="auto"/>
        <w:left w:val="none" w:sz="0" w:space="0" w:color="auto"/>
        <w:bottom w:val="none" w:sz="0" w:space="0" w:color="auto"/>
        <w:right w:val="none" w:sz="0" w:space="0" w:color="auto"/>
      </w:divBdr>
    </w:div>
    <w:div w:id="1659847536">
      <w:bodyDiv w:val="1"/>
      <w:marLeft w:val="0"/>
      <w:marRight w:val="0"/>
      <w:marTop w:val="0"/>
      <w:marBottom w:val="0"/>
      <w:divBdr>
        <w:top w:val="none" w:sz="0" w:space="0" w:color="auto"/>
        <w:left w:val="none" w:sz="0" w:space="0" w:color="auto"/>
        <w:bottom w:val="none" w:sz="0" w:space="0" w:color="auto"/>
        <w:right w:val="none" w:sz="0" w:space="0" w:color="auto"/>
      </w:divBdr>
    </w:div>
    <w:div w:id="1678727019">
      <w:bodyDiv w:val="1"/>
      <w:marLeft w:val="0"/>
      <w:marRight w:val="0"/>
      <w:marTop w:val="0"/>
      <w:marBottom w:val="0"/>
      <w:divBdr>
        <w:top w:val="none" w:sz="0" w:space="0" w:color="auto"/>
        <w:left w:val="none" w:sz="0" w:space="0" w:color="auto"/>
        <w:bottom w:val="none" w:sz="0" w:space="0" w:color="auto"/>
        <w:right w:val="none" w:sz="0" w:space="0" w:color="auto"/>
      </w:divBdr>
    </w:div>
    <w:div w:id="1678927333">
      <w:bodyDiv w:val="1"/>
      <w:marLeft w:val="0"/>
      <w:marRight w:val="0"/>
      <w:marTop w:val="0"/>
      <w:marBottom w:val="0"/>
      <w:divBdr>
        <w:top w:val="none" w:sz="0" w:space="0" w:color="auto"/>
        <w:left w:val="none" w:sz="0" w:space="0" w:color="auto"/>
        <w:bottom w:val="none" w:sz="0" w:space="0" w:color="auto"/>
        <w:right w:val="none" w:sz="0" w:space="0" w:color="auto"/>
      </w:divBdr>
    </w:div>
    <w:div w:id="1700545194">
      <w:bodyDiv w:val="1"/>
      <w:marLeft w:val="0"/>
      <w:marRight w:val="0"/>
      <w:marTop w:val="0"/>
      <w:marBottom w:val="0"/>
      <w:divBdr>
        <w:top w:val="none" w:sz="0" w:space="0" w:color="auto"/>
        <w:left w:val="none" w:sz="0" w:space="0" w:color="auto"/>
        <w:bottom w:val="none" w:sz="0" w:space="0" w:color="auto"/>
        <w:right w:val="none" w:sz="0" w:space="0" w:color="auto"/>
      </w:divBdr>
    </w:div>
    <w:div w:id="1772241865">
      <w:bodyDiv w:val="1"/>
      <w:marLeft w:val="0"/>
      <w:marRight w:val="0"/>
      <w:marTop w:val="0"/>
      <w:marBottom w:val="0"/>
      <w:divBdr>
        <w:top w:val="none" w:sz="0" w:space="0" w:color="auto"/>
        <w:left w:val="none" w:sz="0" w:space="0" w:color="auto"/>
        <w:bottom w:val="none" w:sz="0" w:space="0" w:color="auto"/>
        <w:right w:val="none" w:sz="0" w:space="0" w:color="auto"/>
      </w:divBdr>
    </w:div>
    <w:div w:id="1821916945">
      <w:bodyDiv w:val="1"/>
      <w:marLeft w:val="0"/>
      <w:marRight w:val="0"/>
      <w:marTop w:val="0"/>
      <w:marBottom w:val="0"/>
      <w:divBdr>
        <w:top w:val="none" w:sz="0" w:space="0" w:color="auto"/>
        <w:left w:val="none" w:sz="0" w:space="0" w:color="auto"/>
        <w:bottom w:val="none" w:sz="0" w:space="0" w:color="auto"/>
        <w:right w:val="none" w:sz="0" w:space="0" w:color="auto"/>
      </w:divBdr>
    </w:div>
    <w:div w:id="1845515503">
      <w:bodyDiv w:val="1"/>
      <w:marLeft w:val="0"/>
      <w:marRight w:val="0"/>
      <w:marTop w:val="0"/>
      <w:marBottom w:val="0"/>
      <w:divBdr>
        <w:top w:val="none" w:sz="0" w:space="0" w:color="auto"/>
        <w:left w:val="none" w:sz="0" w:space="0" w:color="auto"/>
        <w:bottom w:val="none" w:sz="0" w:space="0" w:color="auto"/>
        <w:right w:val="none" w:sz="0" w:space="0" w:color="auto"/>
      </w:divBdr>
    </w:div>
    <w:div w:id="1915048623">
      <w:bodyDiv w:val="1"/>
      <w:marLeft w:val="0"/>
      <w:marRight w:val="0"/>
      <w:marTop w:val="0"/>
      <w:marBottom w:val="0"/>
      <w:divBdr>
        <w:top w:val="none" w:sz="0" w:space="0" w:color="auto"/>
        <w:left w:val="none" w:sz="0" w:space="0" w:color="auto"/>
        <w:bottom w:val="none" w:sz="0" w:space="0" w:color="auto"/>
        <w:right w:val="none" w:sz="0" w:space="0" w:color="auto"/>
      </w:divBdr>
    </w:div>
    <w:div w:id="207343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22DA6-1ABA-4DFD-8D20-20AA26A48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12</Pages>
  <Words>4679</Words>
  <Characters>26676</Characters>
  <Application>Microsoft Office Word</Application>
  <DocSecurity>0</DocSecurity>
  <Lines>222</Lines>
  <Paragraphs>62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IULIANA-MIHAELA CERNAZEANU</dc:creator>
  <cp:lastModifiedBy>Consuela Iacob</cp:lastModifiedBy>
  <cp:revision>9</cp:revision>
  <cp:lastPrinted>2023-02-02T10:56:00Z</cp:lastPrinted>
  <dcterms:created xsi:type="dcterms:W3CDTF">2023-02-02T17:37:00Z</dcterms:created>
  <dcterms:modified xsi:type="dcterms:W3CDTF">2023-02-02T19:02:00Z</dcterms:modified>
</cp:coreProperties>
</file>